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B44D64" w:rsidRPr="00FF605D" w14:paraId="5CCDC93F" w14:textId="77777777" w:rsidTr="00F64C40">
        <w:trPr>
          <w:trHeight w:val="260"/>
        </w:trPr>
        <w:tc>
          <w:tcPr>
            <w:tcW w:w="2988" w:type="dxa"/>
          </w:tcPr>
          <w:p w14:paraId="51B5D978" w14:textId="4007F662" w:rsidR="00B44D64" w:rsidRPr="00FF605D" w:rsidRDefault="00B44D64" w:rsidP="00B44D64">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2ECF834E" w:rsidR="00B44D64" w:rsidRPr="00897C0D" w:rsidRDefault="00897C0D" w:rsidP="00B44D64">
            <w:pPr>
              <w:autoSpaceDE w:val="0"/>
              <w:autoSpaceDN w:val="0"/>
              <w:adjustRightInd w:val="0"/>
              <w:spacing w:after="0" w:line="240" w:lineRule="auto"/>
              <w:rPr>
                <w:rFonts w:ascii="Times New Roman" w:hAnsi="Times New Roman"/>
                <w:b/>
                <w:sz w:val="22"/>
              </w:rPr>
            </w:pPr>
            <w:r w:rsidRPr="00897C0D">
              <w:rPr>
                <w:rFonts w:ascii="Times New Roman" w:hAnsi="Times New Roman"/>
                <w:b/>
                <w:sz w:val="22"/>
              </w:rPr>
              <w:t>Reduced Cement Content</w:t>
            </w:r>
          </w:p>
        </w:tc>
      </w:tr>
      <w:tr w:rsidR="0069391E" w:rsidRPr="00FF605D" w14:paraId="001C1519" w14:textId="77777777" w:rsidTr="003E2DC2">
        <w:tc>
          <w:tcPr>
            <w:tcW w:w="2988" w:type="dxa"/>
          </w:tcPr>
          <w:p w14:paraId="41759993" w14:textId="60066CB5" w:rsidR="0069391E" w:rsidRPr="00FE79EC" w:rsidRDefault="0069391E" w:rsidP="0069391E">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6FF5275B"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Rigid</w:t>
            </w:r>
          </w:p>
        </w:tc>
      </w:tr>
      <w:tr w:rsidR="0069391E" w:rsidRPr="00FF605D" w14:paraId="32541A75" w14:textId="77777777" w:rsidTr="003E2DC2">
        <w:tc>
          <w:tcPr>
            <w:tcW w:w="2988" w:type="dxa"/>
          </w:tcPr>
          <w:p w14:paraId="5A0D0EE1" w14:textId="6E6B609A" w:rsidR="0069391E" w:rsidRPr="00FE79EC" w:rsidRDefault="0069391E" w:rsidP="0069391E">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4C4E6AC8" w:rsidR="0069391E" w:rsidRPr="00B6336A" w:rsidRDefault="0069391E" w:rsidP="0069391E">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Research</w:t>
            </w:r>
          </w:p>
        </w:tc>
      </w:tr>
      <w:tr w:rsidR="00897C0D" w:rsidRPr="00FF605D" w14:paraId="305FAF65" w14:textId="77777777" w:rsidTr="003E2DC2">
        <w:tc>
          <w:tcPr>
            <w:tcW w:w="2988" w:type="dxa"/>
          </w:tcPr>
          <w:p w14:paraId="5DAE6F32" w14:textId="77777777" w:rsidR="00897C0D" w:rsidRPr="00FF605D" w:rsidRDefault="00897C0D" w:rsidP="00897C0D">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588F4B11" w:rsidR="00897C0D" w:rsidRPr="00897C0D" w:rsidRDefault="00897C0D" w:rsidP="00897C0D">
            <w:pPr>
              <w:spacing w:after="0" w:line="240" w:lineRule="auto"/>
              <w:rPr>
                <w:rFonts w:ascii="Times New Roman" w:hAnsi="Times New Roman"/>
                <w:bCs/>
                <w:color w:val="000000" w:themeColor="text1"/>
                <w:sz w:val="22"/>
              </w:rPr>
            </w:pPr>
            <w:r w:rsidRPr="00897C0D">
              <w:rPr>
                <w:rFonts w:ascii="Times New Roman" w:hAnsi="Times New Roman"/>
                <w:bCs/>
                <w:color w:val="000000" w:themeColor="text1"/>
                <w:sz w:val="22"/>
              </w:rPr>
              <w:t xml:space="preserve">Bernard Izevbekhai (MnDOT) Tumer Akakin (ARM), John Cunningham (ARM) Peter Taylor (ISU) </w:t>
            </w:r>
          </w:p>
        </w:tc>
      </w:tr>
      <w:tr w:rsidR="00897C0D" w:rsidRPr="00FF605D" w14:paraId="044D3249" w14:textId="77777777" w:rsidTr="003E2DC2">
        <w:tc>
          <w:tcPr>
            <w:tcW w:w="2988" w:type="dxa"/>
          </w:tcPr>
          <w:p w14:paraId="61D89287" w14:textId="77777777" w:rsidR="00897C0D" w:rsidRPr="00FF605D" w:rsidRDefault="00897C0D" w:rsidP="00897C0D">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1DD872CD" w:rsidR="00897C0D" w:rsidRPr="00B6336A" w:rsidRDefault="00897C0D" w:rsidP="00897C0D">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Bernard.izevbekhai@state.mn.us</w:t>
            </w:r>
          </w:p>
        </w:tc>
      </w:tr>
      <w:tr w:rsidR="00897C0D" w:rsidRPr="00FF605D" w14:paraId="62AB2A2B" w14:textId="77777777" w:rsidTr="003E2DC2">
        <w:tc>
          <w:tcPr>
            <w:tcW w:w="2988" w:type="dxa"/>
          </w:tcPr>
          <w:p w14:paraId="208ED15F" w14:textId="77777777" w:rsidR="00897C0D" w:rsidRPr="00FF605D" w:rsidRDefault="00897C0D" w:rsidP="00897C0D">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3B8D2BB" w:rsidR="00897C0D" w:rsidRPr="00B6336A" w:rsidRDefault="00897C0D" w:rsidP="00897C0D">
            <w:pPr>
              <w:spacing w:after="0" w:line="240" w:lineRule="auto"/>
              <w:rPr>
                <w:rFonts w:ascii="Times New Roman" w:hAnsi="Times New Roman"/>
                <w:bCs/>
                <w:color w:val="000000" w:themeColor="text1"/>
                <w:sz w:val="22"/>
              </w:rPr>
            </w:pPr>
            <w:r w:rsidRPr="00B6336A">
              <w:rPr>
                <w:rFonts w:ascii="Times New Roman" w:hAnsi="Times New Roman"/>
                <w:bCs/>
                <w:color w:val="000000" w:themeColor="text1"/>
                <w:sz w:val="22"/>
              </w:rPr>
              <w:t>6513665454</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B6336A" w:rsidRPr="00FF605D" w14:paraId="543238BB" w14:textId="77777777" w:rsidTr="00905932">
        <w:tc>
          <w:tcPr>
            <w:tcW w:w="3720" w:type="dxa"/>
          </w:tcPr>
          <w:p w14:paraId="16553E7C" w14:textId="2312ACA4" w:rsidR="00B6336A" w:rsidRPr="00FF605D" w:rsidRDefault="00B6336A" w:rsidP="00B6336A">
            <w:pPr>
              <w:spacing w:after="0" w:line="240" w:lineRule="auto"/>
              <w:jc w:val="right"/>
              <w:rPr>
                <w:rFonts w:ascii="Times New Roman" w:hAnsi="Times New Roman"/>
                <w:b/>
                <w:sz w:val="22"/>
              </w:rPr>
            </w:pPr>
            <w:r>
              <w:rPr>
                <w:rFonts w:ascii="Times New Roman" w:hAnsi="Times New Roman"/>
                <w:b/>
                <w:sz w:val="22"/>
              </w:rPr>
              <w:t>Research Funding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0EE63121" w:rsidR="00B6336A" w:rsidRPr="0070453C" w:rsidRDefault="00B6336A" w:rsidP="00B6336A">
            <w:pPr>
              <w:spacing w:after="0" w:line="240" w:lineRule="auto"/>
              <w:rPr>
                <w:rFonts w:ascii="Times New Roman" w:hAnsi="Times New Roman"/>
                <w:b/>
                <w:color w:val="595959" w:themeColor="text1" w:themeTint="A6"/>
                <w:sz w:val="22"/>
              </w:rPr>
            </w:pPr>
            <w:r w:rsidRPr="0070453C">
              <w:rPr>
                <w:rFonts w:ascii="Times New Roman" w:hAnsi="Times New Roman"/>
                <w:bCs/>
                <w:sz w:val="22"/>
              </w:rPr>
              <w:t>$</w:t>
            </w:r>
            <w:r w:rsidR="00897C0D">
              <w:rPr>
                <w:rFonts w:ascii="Times New Roman" w:hAnsi="Times New Roman"/>
                <w:bCs/>
                <w:sz w:val="22"/>
              </w:rPr>
              <w:t>13</w:t>
            </w:r>
            <w:r w:rsidRPr="0070453C">
              <w:rPr>
                <w:rFonts w:ascii="Times New Roman" w:hAnsi="Times New Roman"/>
                <w:bCs/>
                <w:sz w:val="22"/>
              </w:rPr>
              <w:t>0</w:t>
            </w:r>
            <w:r w:rsidR="007743F9">
              <w:rPr>
                <w:rFonts w:ascii="Times New Roman" w:hAnsi="Times New Roman"/>
                <w:bCs/>
                <w:sz w:val="22"/>
              </w:rPr>
              <w:t>,</w:t>
            </w:r>
            <w:r w:rsidRPr="0070453C">
              <w:rPr>
                <w:rFonts w:ascii="Times New Roman" w:hAnsi="Times New Roman"/>
                <w:bCs/>
                <w:sz w:val="22"/>
              </w:rPr>
              <w:t>000</w:t>
            </w:r>
          </w:p>
        </w:tc>
      </w:tr>
      <w:tr w:rsidR="00B6336A" w:rsidRPr="00D479BC" w14:paraId="7872C8C4" w14:textId="77777777" w:rsidTr="00905932">
        <w:tc>
          <w:tcPr>
            <w:tcW w:w="3720" w:type="dxa"/>
          </w:tcPr>
          <w:p w14:paraId="1834DC6E" w14:textId="28548BA3"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22497375" w:rsidR="00B6336A" w:rsidRPr="00D479BC" w:rsidRDefault="00B6336A"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4</w:t>
            </w:r>
            <w:r w:rsidRPr="00D479BC">
              <w:rPr>
                <w:rFonts w:ascii="Times New Roman" w:hAnsi="Times New Roman"/>
                <w:bCs/>
                <w:color w:val="000000" w:themeColor="text1"/>
                <w:sz w:val="22"/>
              </w:rPr>
              <w:t xml:space="preserve"> years</w:t>
            </w:r>
          </w:p>
        </w:tc>
      </w:tr>
      <w:tr w:rsidR="00B6336A" w:rsidRPr="00D479BC" w14:paraId="655B2D62" w14:textId="77777777" w:rsidTr="00905932">
        <w:tc>
          <w:tcPr>
            <w:tcW w:w="3720" w:type="dxa"/>
          </w:tcPr>
          <w:p w14:paraId="7014A5FE" w14:textId="1D8EE2D6" w:rsidR="00B6336A" w:rsidRPr="00D479BC" w:rsidRDefault="00B6336A" w:rsidP="00B6336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5D075954" w14:textId="77777777" w:rsidR="00897C0D" w:rsidRDefault="00897C0D" w:rsidP="00B6336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Suppliers of pozzolanic materials:</w:t>
            </w:r>
          </w:p>
          <w:p w14:paraId="3D2F2A90" w14:textId="4E9F9415" w:rsidR="00897C0D" w:rsidRPr="00897C0D" w:rsidRDefault="00897C0D" w:rsidP="00897C0D">
            <w:pPr>
              <w:spacing w:after="0" w:line="240" w:lineRule="auto"/>
              <w:rPr>
                <w:rFonts w:ascii="Times New Roman" w:hAnsi="Times New Roman"/>
                <w:bCs/>
                <w:color w:val="000000" w:themeColor="text1"/>
                <w:sz w:val="22"/>
              </w:rPr>
            </w:pPr>
            <w:r w:rsidRPr="00897C0D">
              <w:rPr>
                <w:rFonts w:ascii="Times New Roman" w:hAnsi="Times New Roman"/>
                <w:bCs/>
                <w:color w:val="000000" w:themeColor="text1"/>
                <w:sz w:val="22"/>
              </w:rPr>
              <w:t>PLC - Portland limestone cement</w:t>
            </w:r>
          </w:p>
          <w:p w14:paraId="55809BC5" w14:textId="49826B4E" w:rsidR="00897C0D" w:rsidRPr="00897C0D" w:rsidRDefault="00897C0D" w:rsidP="00897C0D">
            <w:pPr>
              <w:spacing w:after="0" w:line="240" w:lineRule="auto"/>
              <w:rPr>
                <w:rFonts w:ascii="Times New Roman" w:hAnsi="Times New Roman"/>
                <w:bCs/>
                <w:color w:val="000000" w:themeColor="text1"/>
                <w:sz w:val="22"/>
              </w:rPr>
            </w:pPr>
            <w:proofErr w:type="spellStart"/>
            <w:r w:rsidRPr="00897C0D">
              <w:rPr>
                <w:rFonts w:ascii="Times New Roman" w:hAnsi="Times New Roman"/>
                <w:bCs/>
                <w:color w:val="000000" w:themeColor="text1"/>
                <w:sz w:val="22"/>
              </w:rPr>
              <w:t>Solidia</w:t>
            </w:r>
            <w:proofErr w:type="spellEnd"/>
            <w:r w:rsidRPr="00897C0D">
              <w:rPr>
                <w:rFonts w:ascii="Times New Roman" w:hAnsi="Times New Roman"/>
                <w:bCs/>
                <w:color w:val="000000" w:themeColor="text1"/>
                <w:sz w:val="22"/>
              </w:rPr>
              <w:t xml:space="preserve"> SCM</w:t>
            </w:r>
          </w:p>
          <w:p w14:paraId="41E4BD04" w14:textId="15457C0B" w:rsidR="00897C0D" w:rsidRPr="00897C0D" w:rsidRDefault="00897C0D" w:rsidP="00897C0D">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G</w:t>
            </w:r>
            <w:r w:rsidRPr="00897C0D">
              <w:rPr>
                <w:rFonts w:ascii="Times New Roman" w:hAnsi="Times New Roman"/>
                <w:bCs/>
                <w:color w:val="000000" w:themeColor="text1"/>
                <w:sz w:val="22"/>
              </w:rPr>
              <w:t xml:space="preserve">round glass as alternative to Fly Ash </w:t>
            </w:r>
          </w:p>
          <w:p w14:paraId="6330E201" w14:textId="6108D8A5" w:rsidR="00897C0D" w:rsidRPr="00D479BC" w:rsidRDefault="00897C0D" w:rsidP="00897C0D">
            <w:pPr>
              <w:spacing w:after="0" w:line="240" w:lineRule="auto"/>
              <w:rPr>
                <w:rFonts w:ascii="Times New Roman" w:hAnsi="Times New Roman"/>
                <w:bCs/>
                <w:color w:val="000000" w:themeColor="text1"/>
                <w:sz w:val="22"/>
              </w:rPr>
            </w:pPr>
            <w:r w:rsidRPr="00897C0D">
              <w:rPr>
                <w:rFonts w:ascii="Times New Roman" w:hAnsi="Times New Roman"/>
                <w:bCs/>
                <w:color w:val="000000" w:themeColor="text1"/>
                <w:sz w:val="22"/>
              </w:rPr>
              <w:t>Natural Pozzolan SC</w:t>
            </w:r>
            <w:r>
              <w:rPr>
                <w:rFonts w:ascii="Times New Roman" w:hAnsi="Times New Roman"/>
                <w:bCs/>
                <w:color w:val="000000" w:themeColor="text1"/>
                <w:sz w:val="22"/>
              </w:rPr>
              <w:t>M</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65703E" w:rsidRPr="00D479BC" w14:paraId="6AE71FE6" w14:textId="77777777" w:rsidTr="00905932">
        <w:tc>
          <w:tcPr>
            <w:tcW w:w="3720" w:type="dxa"/>
          </w:tcPr>
          <w:p w14:paraId="2115A623"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6F15854B" w:rsidR="0065703E" w:rsidRPr="00D479BC" w:rsidRDefault="0065703E" w:rsidP="0065703E">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Up to </w:t>
            </w:r>
            <w:r>
              <w:rPr>
                <w:rFonts w:ascii="Times New Roman" w:hAnsi="Times New Roman"/>
                <w:bCs/>
                <w:color w:val="000000" w:themeColor="text1"/>
                <w:sz w:val="22"/>
              </w:rPr>
              <w:t>six</w:t>
            </w:r>
            <w:r>
              <w:rPr>
                <w:rFonts w:ascii="Times New Roman" w:hAnsi="Times New Roman"/>
                <w:bCs/>
                <w:color w:val="000000" w:themeColor="text1"/>
                <w:sz w:val="22"/>
              </w:rPr>
              <w:t xml:space="preserve"> </w:t>
            </w:r>
            <w:proofErr w:type="gramStart"/>
            <w:r>
              <w:rPr>
                <w:rFonts w:ascii="Times New Roman" w:hAnsi="Times New Roman"/>
                <w:bCs/>
                <w:color w:val="000000" w:themeColor="text1"/>
                <w:sz w:val="22"/>
              </w:rPr>
              <w:t>1</w:t>
            </w:r>
            <w:r w:rsidR="00F76085">
              <w:rPr>
                <w:rFonts w:ascii="Times New Roman" w:hAnsi="Times New Roman"/>
                <w:bCs/>
                <w:color w:val="000000" w:themeColor="text1"/>
                <w:sz w:val="22"/>
              </w:rPr>
              <w:t>5</w:t>
            </w:r>
            <w:r>
              <w:rPr>
                <w:rFonts w:ascii="Times New Roman" w:hAnsi="Times New Roman"/>
                <w:bCs/>
                <w:color w:val="000000" w:themeColor="text1"/>
                <w:sz w:val="22"/>
              </w:rPr>
              <w:t>0 foot long</w:t>
            </w:r>
            <w:proofErr w:type="gramEnd"/>
            <w:r>
              <w:rPr>
                <w:rFonts w:ascii="Times New Roman" w:hAnsi="Times New Roman"/>
                <w:bCs/>
                <w:color w:val="000000" w:themeColor="text1"/>
                <w:sz w:val="22"/>
              </w:rPr>
              <w:t xml:space="preserve"> test sections</w:t>
            </w:r>
          </w:p>
        </w:tc>
      </w:tr>
      <w:tr w:rsidR="0065703E" w:rsidRPr="00D479BC" w14:paraId="2E808EE1" w14:textId="77777777" w:rsidTr="006B794B">
        <w:trPr>
          <w:trHeight w:val="305"/>
        </w:trPr>
        <w:tc>
          <w:tcPr>
            <w:tcW w:w="3720" w:type="dxa"/>
          </w:tcPr>
          <w:p w14:paraId="3FBFBC42"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3AE39105" w:rsidR="0065703E" w:rsidRPr="008F17F9" w:rsidRDefault="008F17F9" w:rsidP="0065703E">
            <w:pPr>
              <w:rPr>
                <w:rFonts w:ascii="Times New Roman" w:hAnsi="Times New Roman"/>
                <w:bCs/>
                <w:color w:val="000000" w:themeColor="text1"/>
                <w:sz w:val="22"/>
              </w:rPr>
            </w:pPr>
            <w:r w:rsidRPr="008F17F9">
              <w:rPr>
                <w:rFonts w:ascii="Times New Roman" w:hAnsi="Times New Roman"/>
                <w:bCs/>
                <w:color w:val="000000" w:themeColor="text1"/>
                <w:sz w:val="22"/>
              </w:rPr>
              <w:t xml:space="preserve">Moderate </w:t>
            </w:r>
            <w:r w:rsidR="0065703E" w:rsidRPr="008F17F9">
              <w:rPr>
                <w:rFonts w:ascii="Times New Roman" w:hAnsi="Times New Roman"/>
                <w:bCs/>
                <w:color w:val="000000" w:themeColor="text1"/>
                <w:sz w:val="22"/>
              </w:rPr>
              <w:t>(Maturity, Temperature</w:t>
            </w:r>
            <w:r w:rsidRPr="008F17F9">
              <w:rPr>
                <w:rFonts w:ascii="Times New Roman" w:hAnsi="Times New Roman"/>
                <w:bCs/>
                <w:color w:val="000000" w:themeColor="text1"/>
                <w:sz w:val="22"/>
              </w:rPr>
              <w:t>, Dynamic and environmental strain</w:t>
            </w:r>
            <w:r w:rsidR="0065703E" w:rsidRPr="008F17F9">
              <w:rPr>
                <w:rFonts w:ascii="Times New Roman" w:hAnsi="Times New Roman"/>
                <w:bCs/>
                <w:color w:val="000000" w:themeColor="text1"/>
                <w:sz w:val="22"/>
              </w:rPr>
              <w:t>).</w:t>
            </w:r>
          </w:p>
        </w:tc>
      </w:tr>
      <w:tr w:rsidR="0065703E" w:rsidRPr="00D479BC" w14:paraId="0F7C641B" w14:textId="77777777" w:rsidTr="00905932">
        <w:tc>
          <w:tcPr>
            <w:tcW w:w="3720" w:type="dxa"/>
          </w:tcPr>
          <w:p w14:paraId="14F61F57" w14:textId="77777777" w:rsidR="0065703E" w:rsidRPr="00D479BC" w:rsidRDefault="0065703E" w:rsidP="0065703E">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0863D810" w:rsidR="0065703E" w:rsidRPr="008F17F9" w:rsidRDefault="0065703E" w:rsidP="0065703E">
            <w:pPr>
              <w:spacing w:after="0" w:line="240" w:lineRule="auto"/>
              <w:rPr>
                <w:rFonts w:ascii="Times New Roman" w:hAnsi="Times New Roman"/>
                <w:bCs/>
                <w:color w:val="000000" w:themeColor="text1"/>
                <w:sz w:val="22"/>
              </w:rPr>
            </w:pPr>
            <w:r w:rsidRPr="008F17F9">
              <w:rPr>
                <w:rFonts w:ascii="Times New Roman" w:hAnsi="Times New Roman"/>
                <w:bCs/>
                <w:color w:val="000000" w:themeColor="text1"/>
                <w:sz w:val="22"/>
              </w:rPr>
              <w:t>IRI, FWD, Surface Degradation, MIRA testing.</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2FCB42E3" w14:textId="77777777" w:rsidR="00096C06" w:rsidRDefault="0065703E" w:rsidP="0065703E">
            <w:pPr>
              <w:spacing w:after="0" w:line="240" w:lineRule="auto"/>
              <w:contextualSpacing/>
              <w:rPr>
                <w:rFonts w:ascii="Times New Roman" w:hAnsi="Times New Roman"/>
                <w:sz w:val="22"/>
              </w:rPr>
            </w:pPr>
            <w:r w:rsidRPr="0065703E">
              <w:rPr>
                <w:rFonts w:ascii="Times New Roman" w:hAnsi="Times New Roman"/>
                <w:sz w:val="22"/>
              </w:rPr>
              <w:t>Today there is a resurgence o</w:t>
            </w:r>
            <w:r>
              <w:rPr>
                <w:rFonts w:ascii="Times New Roman" w:hAnsi="Times New Roman"/>
                <w:sz w:val="22"/>
              </w:rPr>
              <w:t>f</w:t>
            </w:r>
            <w:r w:rsidRPr="0065703E">
              <w:rPr>
                <w:rFonts w:ascii="Times New Roman" w:hAnsi="Times New Roman"/>
                <w:sz w:val="22"/>
              </w:rPr>
              <w:t xml:space="preserve"> interest in </w:t>
            </w:r>
            <w:r>
              <w:rPr>
                <w:rFonts w:ascii="Times New Roman" w:hAnsi="Times New Roman"/>
                <w:sz w:val="22"/>
              </w:rPr>
              <w:t xml:space="preserve">using </w:t>
            </w:r>
            <w:r w:rsidRPr="0065703E">
              <w:rPr>
                <w:rFonts w:ascii="Times New Roman" w:hAnsi="Times New Roman"/>
                <w:sz w:val="22"/>
              </w:rPr>
              <w:t xml:space="preserve">natural </w:t>
            </w:r>
            <w:r w:rsidR="00096C06">
              <w:rPr>
                <w:rFonts w:ascii="Times New Roman" w:hAnsi="Times New Roman"/>
                <w:sz w:val="22"/>
              </w:rPr>
              <w:t xml:space="preserve">and recycled materials-based </w:t>
            </w:r>
            <w:r w:rsidRPr="0065703E">
              <w:rPr>
                <w:rFonts w:ascii="Times New Roman" w:hAnsi="Times New Roman"/>
                <w:sz w:val="22"/>
              </w:rPr>
              <w:t>pozzolans</w:t>
            </w:r>
            <w:r w:rsidR="00096C06">
              <w:rPr>
                <w:rFonts w:ascii="Times New Roman" w:hAnsi="Times New Roman"/>
                <w:sz w:val="22"/>
              </w:rPr>
              <w:t>,</w:t>
            </w:r>
            <w:r w:rsidRPr="0065703E">
              <w:rPr>
                <w:rFonts w:ascii="Times New Roman" w:hAnsi="Times New Roman"/>
                <w:sz w:val="22"/>
              </w:rPr>
              <w:t xml:space="preserve"> </w:t>
            </w:r>
            <w:r>
              <w:rPr>
                <w:rFonts w:ascii="Times New Roman" w:hAnsi="Times New Roman"/>
                <w:sz w:val="22"/>
              </w:rPr>
              <w:t xml:space="preserve">to reduce the amount of cement and other supplementary cementitious materials in a concrete mix (such as </w:t>
            </w:r>
            <w:r w:rsidRPr="0065703E">
              <w:rPr>
                <w:rFonts w:ascii="Times New Roman" w:hAnsi="Times New Roman"/>
                <w:sz w:val="22"/>
              </w:rPr>
              <w:t xml:space="preserve">coal combustion </w:t>
            </w:r>
            <w:r>
              <w:rPr>
                <w:rFonts w:ascii="Times New Roman" w:hAnsi="Times New Roman"/>
                <w:sz w:val="22"/>
              </w:rPr>
              <w:t xml:space="preserve">derived </w:t>
            </w:r>
            <w:proofErr w:type="spellStart"/>
            <w:r>
              <w:rPr>
                <w:rFonts w:ascii="Times New Roman" w:hAnsi="Times New Roman"/>
                <w:sz w:val="22"/>
              </w:rPr>
              <w:t>flyash</w:t>
            </w:r>
            <w:proofErr w:type="spellEnd"/>
            <w:r>
              <w:rPr>
                <w:rFonts w:ascii="Times New Roman" w:hAnsi="Times New Roman"/>
                <w:sz w:val="22"/>
              </w:rPr>
              <w:t>)</w:t>
            </w:r>
            <w:r w:rsidRPr="0065703E">
              <w:rPr>
                <w:rFonts w:ascii="Times New Roman" w:hAnsi="Times New Roman"/>
                <w:sz w:val="22"/>
              </w:rPr>
              <w:t>.</w:t>
            </w:r>
            <w:r w:rsidR="00096C06">
              <w:rPr>
                <w:rFonts w:ascii="Times New Roman" w:hAnsi="Times New Roman"/>
                <w:sz w:val="22"/>
              </w:rPr>
              <w:t xml:space="preserve"> </w:t>
            </w:r>
            <w:r w:rsidRPr="0065703E">
              <w:rPr>
                <w:rFonts w:ascii="Times New Roman" w:hAnsi="Times New Roman"/>
                <w:sz w:val="22"/>
              </w:rPr>
              <w:t xml:space="preserve">In pozzolanic substitution, replacement of cement translates to </w:t>
            </w:r>
            <w:r>
              <w:rPr>
                <w:rFonts w:ascii="Times New Roman" w:hAnsi="Times New Roman"/>
                <w:sz w:val="22"/>
              </w:rPr>
              <w:t xml:space="preserve">a significant </w:t>
            </w:r>
            <w:r w:rsidRPr="0065703E">
              <w:rPr>
                <w:rFonts w:ascii="Times New Roman" w:hAnsi="Times New Roman"/>
                <w:sz w:val="22"/>
              </w:rPr>
              <w:t>reduction of carbon footprint</w:t>
            </w:r>
            <w:r>
              <w:rPr>
                <w:rFonts w:ascii="Times New Roman" w:hAnsi="Times New Roman"/>
                <w:sz w:val="22"/>
              </w:rPr>
              <w:t>.</w:t>
            </w:r>
            <w:r w:rsidRPr="0065703E">
              <w:rPr>
                <w:rFonts w:ascii="Times New Roman" w:hAnsi="Times New Roman"/>
                <w:sz w:val="22"/>
              </w:rPr>
              <w:t xml:space="preserve"> </w:t>
            </w:r>
            <w:r w:rsidR="00096C06">
              <w:rPr>
                <w:rFonts w:ascii="Times New Roman" w:hAnsi="Times New Roman"/>
                <w:sz w:val="22"/>
              </w:rPr>
              <w:t xml:space="preserve">This substitution must be done without </w:t>
            </w:r>
            <w:r w:rsidRPr="0065703E">
              <w:rPr>
                <w:rFonts w:ascii="Times New Roman" w:hAnsi="Times New Roman"/>
                <w:sz w:val="22"/>
              </w:rPr>
              <w:t xml:space="preserve">compromising </w:t>
            </w:r>
            <w:r w:rsidR="00096C06">
              <w:rPr>
                <w:rFonts w:ascii="Times New Roman" w:hAnsi="Times New Roman"/>
                <w:sz w:val="22"/>
              </w:rPr>
              <w:t xml:space="preserve">the </w:t>
            </w:r>
            <w:r w:rsidRPr="0065703E">
              <w:rPr>
                <w:rFonts w:ascii="Times New Roman" w:hAnsi="Times New Roman"/>
                <w:sz w:val="22"/>
              </w:rPr>
              <w:t>resiliency and durability</w:t>
            </w:r>
            <w:r w:rsidR="00096C06">
              <w:rPr>
                <w:rFonts w:ascii="Times New Roman" w:hAnsi="Times New Roman"/>
                <w:sz w:val="22"/>
              </w:rPr>
              <w:t xml:space="preserve"> of the concrete</w:t>
            </w:r>
            <w:r w:rsidRPr="0065703E">
              <w:rPr>
                <w:rFonts w:ascii="Times New Roman" w:hAnsi="Times New Roman"/>
                <w:sz w:val="22"/>
              </w:rPr>
              <w:t xml:space="preserve">. </w:t>
            </w:r>
          </w:p>
          <w:p w14:paraId="0B7DF4E8" w14:textId="3A0B52B2" w:rsidR="00B54798" w:rsidRDefault="00096C06" w:rsidP="0065703E">
            <w:pPr>
              <w:spacing w:after="0" w:line="240" w:lineRule="auto"/>
              <w:contextualSpacing/>
              <w:rPr>
                <w:rFonts w:ascii="Times New Roman" w:hAnsi="Times New Roman"/>
                <w:sz w:val="22"/>
              </w:rPr>
            </w:pPr>
            <w:r>
              <w:rPr>
                <w:rFonts w:ascii="Times New Roman" w:hAnsi="Times New Roman"/>
                <w:sz w:val="22"/>
              </w:rPr>
              <w:t xml:space="preserve">          </w:t>
            </w:r>
            <w:r w:rsidR="0065703E" w:rsidRPr="0065703E">
              <w:rPr>
                <w:rFonts w:ascii="Times New Roman" w:hAnsi="Times New Roman"/>
                <w:sz w:val="22"/>
              </w:rPr>
              <w:t>Although much research has gone into pozzolanic substitution</w:t>
            </w:r>
            <w:r>
              <w:rPr>
                <w:rFonts w:ascii="Times New Roman" w:hAnsi="Times New Roman"/>
                <w:sz w:val="22"/>
              </w:rPr>
              <w:t>,</w:t>
            </w:r>
            <w:r w:rsidR="0065703E" w:rsidRPr="0065703E">
              <w:rPr>
                <w:rFonts w:ascii="Times New Roman" w:hAnsi="Times New Roman"/>
                <w:sz w:val="22"/>
              </w:rPr>
              <w:t xml:space="preserve"> </w:t>
            </w:r>
            <w:r>
              <w:rPr>
                <w:rFonts w:ascii="Times New Roman" w:hAnsi="Times New Roman"/>
                <w:sz w:val="22"/>
              </w:rPr>
              <w:t>th</w:t>
            </w:r>
            <w:r w:rsidR="0065703E" w:rsidRPr="0065703E">
              <w:rPr>
                <w:rFonts w:ascii="Times New Roman" w:hAnsi="Times New Roman"/>
                <w:sz w:val="22"/>
              </w:rPr>
              <w:t xml:space="preserve">ere is a paucity in the knowledge base regarding the sustainable limits in the use or inclusion of limestone in the blends. Additionally, there is a missing link between limestone content and actual micro and nano influence because of the intrusion </w:t>
            </w:r>
            <w:proofErr w:type="spellStart"/>
            <w:r w:rsidR="0065703E" w:rsidRPr="0065703E">
              <w:rPr>
                <w:rFonts w:ascii="Times New Roman" w:hAnsi="Times New Roman"/>
                <w:sz w:val="22"/>
              </w:rPr>
              <w:t>porosimetry</w:t>
            </w:r>
            <w:proofErr w:type="spellEnd"/>
            <w:r w:rsidR="0065703E" w:rsidRPr="0065703E">
              <w:rPr>
                <w:rFonts w:ascii="Times New Roman" w:hAnsi="Times New Roman"/>
                <w:sz w:val="22"/>
              </w:rPr>
              <w:t xml:space="preserve"> of limestone that may have influence on absorption and possible desorption within the matrix.</w:t>
            </w:r>
            <w:r>
              <w:rPr>
                <w:rFonts w:ascii="Times New Roman" w:hAnsi="Times New Roman"/>
                <w:sz w:val="22"/>
              </w:rPr>
              <w:t xml:space="preserve"> This study will focus on </w:t>
            </w:r>
            <w:r w:rsidR="0065703E" w:rsidRPr="0065703E">
              <w:rPr>
                <w:rFonts w:ascii="Times New Roman" w:hAnsi="Times New Roman"/>
                <w:sz w:val="22"/>
              </w:rPr>
              <w:t>identify</w:t>
            </w:r>
            <w:r>
              <w:rPr>
                <w:rFonts w:ascii="Times New Roman" w:hAnsi="Times New Roman"/>
                <w:sz w:val="22"/>
              </w:rPr>
              <w:t xml:space="preserve">ing </w:t>
            </w:r>
            <w:r w:rsidR="0065703E" w:rsidRPr="0065703E">
              <w:rPr>
                <w:rFonts w:ascii="Times New Roman" w:hAnsi="Times New Roman"/>
                <w:sz w:val="22"/>
              </w:rPr>
              <w:t xml:space="preserve">some natural pozzolans, </w:t>
            </w:r>
            <w:r>
              <w:rPr>
                <w:rFonts w:ascii="Times New Roman" w:hAnsi="Times New Roman"/>
                <w:sz w:val="22"/>
              </w:rPr>
              <w:t>as well as some new recycled materials-based pozzolans</w:t>
            </w:r>
            <w:r w:rsidR="0065703E" w:rsidRPr="0065703E">
              <w:rPr>
                <w:rFonts w:ascii="Times New Roman" w:hAnsi="Times New Roman"/>
                <w:sz w:val="22"/>
              </w:rPr>
              <w:t xml:space="preserve">, and </w:t>
            </w:r>
            <w:r>
              <w:rPr>
                <w:rFonts w:ascii="Times New Roman" w:hAnsi="Times New Roman"/>
                <w:sz w:val="22"/>
              </w:rPr>
              <w:t xml:space="preserve">incorporating them into new pavement test sections. </w:t>
            </w:r>
            <w:r w:rsidR="0065703E" w:rsidRPr="0065703E">
              <w:rPr>
                <w:rFonts w:ascii="Times New Roman" w:hAnsi="Times New Roman"/>
                <w:sz w:val="22"/>
              </w:rPr>
              <w:t xml:space="preserve">It </w:t>
            </w:r>
            <w:r>
              <w:rPr>
                <w:rFonts w:ascii="Times New Roman" w:hAnsi="Times New Roman"/>
                <w:sz w:val="22"/>
              </w:rPr>
              <w:t xml:space="preserve">will also determine the maximum allowable </w:t>
            </w:r>
            <w:r w:rsidR="0065703E" w:rsidRPr="0065703E">
              <w:rPr>
                <w:rFonts w:ascii="Times New Roman" w:hAnsi="Times New Roman"/>
                <w:sz w:val="22"/>
              </w:rPr>
              <w:t xml:space="preserve">limestone content </w:t>
            </w:r>
            <w:r>
              <w:rPr>
                <w:rFonts w:ascii="Times New Roman" w:hAnsi="Times New Roman"/>
                <w:sz w:val="22"/>
              </w:rPr>
              <w:t xml:space="preserve">that can </w:t>
            </w:r>
            <w:r w:rsidR="00B54798">
              <w:rPr>
                <w:rFonts w:ascii="Times New Roman" w:hAnsi="Times New Roman"/>
                <w:sz w:val="22"/>
              </w:rPr>
              <w:t>be included in those mixtures, while still providing sufficient durability. T</w:t>
            </w:r>
            <w:r w:rsidR="00B54798" w:rsidRPr="0065703E">
              <w:rPr>
                <w:rFonts w:ascii="Times New Roman" w:hAnsi="Times New Roman"/>
                <w:sz w:val="22"/>
              </w:rPr>
              <w:t xml:space="preserve">rial mixing will </w:t>
            </w:r>
            <w:r w:rsidR="00B54798">
              <w:rPr>
                <w:rFonts w:ascii="Times New Roman" w:hAnsi="Times New Roman"/>
                <w:sz w:val="22"/>
              </w:rPr>
              <w:t xml:space="preserve">be </w:t>
            </w:r>
            <w:r w:rsidR="00B54798" w:rsidRPr="0065703E">
              <w:rPr>
                <w:rFonts w:ascii="Times New Roman" w:hAnsi="Times New Roman"/>
                <w:sz w:val="22"/>
              </w:rPr>
              <w:t xml:space="preserve">an integral part of the research process. Suggested alternative pozzolans </w:t>
            </w:r>
            <w:r w:rsidR="00B54798">
              <w:rPr>
                <w:rFonts w:ascii="Times New Roman" w:hAnsi="Times New Roman"/>
                <w:sz w:val="22"/>
              </w:rPr>
              <w:t xml:space="preserve">may </w:t>
            </w:r>
            <w:r w:rsidR="00B54798" w:rsidRPr="0065703E">
              <w:rPr>
                <w:rFonts w:ascii="Times New Roman" w:hAnsi="Times New Roman"/>
                <w:sz w:val="22"/>
              </w:rPr>
              <w:t>include ground glass, recently specified under ASTM C1866-20, finely ground rice husks</w:t>
            </w:r>
            <w:r w:rsidR="00B54798">
              <w:rPr>
                <w:rFonts w:ascii="Times New Roman" w:hAnsi="Times New Roman"/>
                <w:sz w:val="22"/>
              </w:rPr>
              <w:t>, as well as other materials of interest.</w:t>
            </w:r>
          </w:p>
          <w:p w14:paraId="1CC00161" w14:textId="2D6B45A2" w:rsidR="0007333D" w:rsidRPr="00231A9E" w:rsidRDefault="00B54798" w:rsidP="00B54798">
            <w:pPr>
              <w:spacing w:after="0" w:line="240" w:lineRule="auto"/>
              <w:contextualSpacing/>
              <w:rPr>
                <w:rFonts w:ascii="Times New Roman" w:hAnsi="Times New Roman"/>
                <w:sz w:val="22"/>
              </w:rPr>
            </w:pPr>
            <w:r>
              <w:rPr>
                <w:rFonts w:ascii="Times New Roman" w:hAnsi="Times New Roman"/>
                <w:sz w:val="22"/>
              </w:rPr>
              <w:t xml:space="preserve">       </w:t>
            </w:r>
            <w:r w:rsidR="0065703E" w:rsidRPr="0065703E">
              <w:rPr>
                <w:rFonts w:ascii="Times New Roman" w:hAnsi="Times New Roman"/>
                <w:sz w:val="22"/>
              </w:rPr>
              <w:t>Each cell will be subjected to the whole gamut of rheological and mechanical tests as well as durability and petrographic analysis. Calorimetric signatures will be required at the plant or during delivery whichever the chosen PI recommends. At the end of the first-year</w:t>
            </w:r>
            <w:r w:rsidR="00F76085">
              <w:rPr>
                <w:rFonts w:ascii="Times New Roman" w:hAnsi="Times New Roman"/>
                <w:sz w:val="22"/>
              </w:rPr>
              <w:t>,</w:t>
            </w:r>
            <w:r w:rsidR="0065703E" w:rsidRPr="0065703E">
              <w:rPr>
                <w:rFonts w:ascii="Times New Roman" w:hAnsi="Times New Roman"/>
                <w:sz w:val="22"/>
              </w:rPr>
              <w:t xml:space="preserve"> representative cores will be taken for petrographic analysis. Joints and surfaces will be observed for early degradation and ride </w:t>
            </w:r>
            <w:r>
              <w:rPr>
                <w:rFonts w:ascii="Times New Roman" w:hAnsi="Times New Roman"/>
                <w:sz w:val="22"/>
              </w:rPr>
              <w:t xml:space="preserve">quality. </w:t>
            </w:r>
            <w:r w:rsidR="0065703E" w:rsidRPr="0065703E">
              <w:rPr>
                <w:rFonts w:ascii="Times New Roman" w:hAnsi="Times New Roman"/>
                <w:sz w:val="22"/>
              </w:rPr>
              <w:t>To augment non-destructive testing with MIRA or other devices to evaluate in situ effect of the concrete on pavement performance, periodic readings from vibrating wire sensors</w:t>
            </w:r>
            <w:r w:rsidR="008F17F9">
              <w:rPr>
                <w:rFonts w:ascii="Times New Roman" w:hAnsi="Times New Roman"/>
                <w:sz w:val="22"/>
              </w:rPr>
              <w:t xml:space="preserve"> and dynamic </w:t>
            </w:r>
            <w:r w:rsidR="0065703E" w:rsidRPr="0065703E">
              <w:rPr>
                <w:rFonts w:ascii="Times New Roman" w:hAnsi="Times New Roman"/>
                <w:sz w:val="22"/>
              </w:rPr>
              <w:t xml:space="preserve">load tests </w:t>
            </w:r>
            <w:r w:rsidR="008F17F9">
              <w:rPr>
                <w:rFonts w:ascii="Times New Roman" w:hAnsi="Times New Roman"/>
                <w:sz w:val="22"/>
              </w:rPr>
              <w:t>w</w:t>
            </w:r>
            <w:r w:rsidR="0065703E" w:rsidRPr="0065703E">
              <w:rPr>
                <w:rFonts w:ascii="Times New Roman" w:hAnsi="Times New Roman"/>
                <w:sz w:val="22"/>
              </w:rPr>
              <w:t xml:space="preserve">ill form part of the data set for analysis during annual performance reports. </w:t>
            </w:r>
          </w:p>
        </w:tc>
      </w:tr>
    </w:tbl>
    <w:p w14:paraId="11C19BF5" w14:textId="0E37985F"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069A1B70" w14:textId="77777777" w:rsidR="00F76085" w:rsidRDefault="00F76085" w:rsidP="00F76085">
            <w:pPr>
              <w:spacing w:after="0" w:line="240" w:lineRule="auto"/>
              <w:contextualSpacing/>
              <w:rPr>
                <w:rFonts w:ascii="Times New Roman" w:hAnsi="Times New Roman"/>
                <w:sz w:val="22"/>
              </w:rPr>
            </w:pPr>
            <w:r>
              <w:rPr>
                <w:rFonts w:ascii="Times New Roman" w:hAnsi="Times New Roman"/>
                <w:sz w:val="22"/>
              </w:rPr>
              <w:t>T</w:t>
            </w:r>
            <w:r w:rsidRPr="0065703E">
              <w:rPr>
                <w:rFonts w:ascii="Times New Roman" w:hAnsi="Times New Roman"/>
                <w:sz w:val="22"/>
              </w:rPr>
              <w:t xml:space="preserve">his </w:t>
            </w:r>
            <w:r>
              <w:rPr>
                <w:rFonts w:ascii="Times New Roman" w:hAnsi="Times New Roman"/>
                <w:sz w:val="22"/>
              </w:rPr>
              <w:t xml:space="preserve">research </w:t>
            </w:r>
            <w:r w:rsidRPr="0065703E">
              <w:rPr>
                <w:rFonts w:ascii="Times New Roman" w:hAnsi="Times New Roman"/>
                <w:sz w:val="22"/>
              </w:rPr>
              <w:t xml:space="preserve">will necessitate </w:t>
            </w:r>
            <w:r>
              <w:rPr>
                <w:rFonts w:ascii="Times New Roman" w:hAnsi="Times New Roman"/>
                <w:sz w:val="22"/>
              </w:rPr>
              <w:t xml:space="preserve">constructing up to six </w:t>
            </w:r>
            <w:proofErr w:type="gramStart"/>
            <w:r>
              <w:rPr>
                <w:rFonts w:ascii="Times New Roman" w:hAnsi="Times New Roman"/>
                <w:sz w:val="22"/>
              </w:rPr>
              <w:t>150 foot long</w:t>
            </w:r>
            <w:proofErr w:type="gramEnd"/>
            <w:r>
              <w:rPr>
                <w:rFonts w:ascii="Times New Roman" w:hAnsi="Times New Roman"/>
                <w:sz w:val="22"/>
              </w:rPr>
              <w:t xml:space="preserve"> test sections as</w:t>
            </w:r>
            <w:r w:rsidRPr="0065703E">
              <w:rPr>
                <w:rFonts w:ascii="Times New Roman" w:hAnsi="Times New Roman"/>
                <w:sz w:val="22"/>
              </w:rPr>
              <w:t xml:space="preserve"> shown </w:t>
            </w:r>
            <w:r>
              <w:rPr>
                <w:rFonts w:ascii="Times New Roman" w:hAnsi="Times New Roman"/>
                <w:sz w:val="22"/>
              </w:rPr>
              <w:t>here:</w:t>
            </w:r>
            <w:r w:rsidRPr="0065703E">
              <w:rPr>
                <w:rFonts w:ascii="Times New Roman" w:hAnsi="Times New Roman"/>
                <w:sz w:val="22"/>
              </w:rPr>
              <w:t xml:space="preserve"> </w:t>
            </w:r>
          </w:p>
          <w:tbl>
            <w:tblPr>
              <w:tblStyle w:val="TableGrid"/>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3060"/>
              <w:gridCol w:w="3323"/>
            </w:tblGrid>
            <w:tr w:rsidR="00F76085" w:rsidRPr="00EE4E59" w14:paraId="16EFE4C0" w14:textId="77777777" w:rsidTr="007A49F8">
              <w:tc>
                <w:tcPr>
                  <w:tcW w:w="1747" w:type="dxa"/>
                </w:tcPr>
                <w:p w14:paraId="611B5773" w14:textId="77777777" w:rsidR="00F76085" w:rsidRPr="00EE4E59" w:rsidRDefault="00F76085" w:rsidP="00F76085">
                  <w:pPr>
                    <w:pStyle w:val="ListParagraph"/>
                    <w:spacing w:after="0" w:line="240" w:lineRule="auto"/>
                    <w:ind w:left="0"/>
                    <w:contextualSpacing/>
                    <w:jc w:val="right"/>
                    <w:rPr>
                      <w:rFonts w:ascii="Times New Roman" w:eastAsia="Times New Roman" w:hAnsi="Times New Roman" w:cs="Times New Roman"/>
                      <w:sz w:val="18"/>
                      <w:szCs w:val="18"/>
                    </w:rPr>
                  </w:pPr>
                  <w:r w:rsidRPr="00EE4E59">
                    <w:rPr>
                      <w:rFonts w:ascii="Times New Roman" w:eastAsia="Times New Roman" w:hAnsi="Times New Roman" w:cs="Times New Roman"/>
                      <w:sz w:val="18"/>
                      <w:szCs w:val="18"/>
                    </w:rPr>
                    <w:sym w:font="Wingdings" w:char="F0E7"/>
                  </w:r>
                </w:p>
              </w:tc>
              <w:tc>
                <w:tcPr>
                  <w:tcW w:w="3060" w:type="dxa"/>
                </w:tcPr>
                <w:p w14:paraId="70F6C6B8"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sz w:val="18"/>
                      <w:szCs w:val="18"/>
                    </w:rPr>
                  </w:pPr>
                  <w:r w:rsidRPr="008930E3">
                    <w:rPr>
                      <w:rFonts w:ascii="Times New Roman" w:eastAsia="Times New Roman" w:hAnsi="Times New Roman" w:cs="Times New Roman"/>
                      <w:b/>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Shoulder</w:t>
                  </w:r>
                </w:p>
              </w:tc>
              <w:tc>
                <w:tcPr>
                  <w:tcW w:w="3323" w:type="dxa"/>
                </w:tcPr>
                <w:p w14:paraId="463268EB" w14:textId="77777777" w:rsidR="00F76085" w:rsidRPr="00EE4E59" w:rsidRDefault="00F76085" w:rsidP="00F76085">
                  <w:pPr>
                    <w:pStyle w:val="ListParagraph"/>
                    <w:spacing w:after="0" w:line="240" w:lineRule="auto"/>
                    <w:ind w:left="0"/>
                    <w:contextualSpacing/>
                    <w:rPr>
                      <w:rFonts w:ascii="Times New Roman" w:eastAsia="Times New Roman" w:hAnsi="Times New Roman" w:cs="Times New Roman"/>
                      <w:sz w:val="18"/>
                      <w:szCs w:val="18"/>
                    </w:rPr>
                  </w:pPr>
                  <w:r w:rsidRPr="00EE4E59">
                    <w:rPr>
                      <w:rFonts w:ascii="Times New Roman" w:eastAsia="Times New Roman" w:hAnsi="Times New Roman" w:cs="Times New Roman"/>
                      <w:sz w:val="18"/>
                      <w:szCs w:val="18"/>
                    </w:rPr>
                    <w:sym w:font="Wingdings" w:char="F0E8"/>
                  </w:r>
                </w:p>
              </w:tc>
            </w:tr>
            <w:tr w:rsidR="00F76085" w:rsidRPr="00EE4E59" w14:paraId="290AEC9C" w14:textId="77777777" w:rsidTr="007A49F8">
              <w:trPr>
                <w:trHeight w:val="593"/>
              </w:trPr>
              <w:tc>
                <w:tcPr>
                  <w:tcW w:w="1747" w:type="dxa"/>
                </w:tcPr>
                <w:p w14:paraId="0C276A60"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1F497D" w:themeColor="text2"/>
                      <w:sz w:val="18"/>
                      <w:szCs w:val="18"/>
                    </w:rPr>
                  </w:pPr>
                  <w:r w:rsidRPr="00EE4E59">
                    <w:rPr>
                      <w:rFonts w:ascii="Times New Roman" w:eastAsia="Times New Roman" w:hAnsi="Times New Roman" w:cs="Times New Roman"/>
                      <w:b/>
                      <w:bCs/>
                      <w:color w:val="FF0000"/>
                      <w:sz w:val="18"/>
                      <w:szCs w:val="18"/>
                    </w:rPr>
                    <w:t>Control</w:t>
                  </w:r>
                </w:p>
              </w:tc>
              <w:tc>
                <w:tcPr>
                  <w:tcW w:w="3060" w:type="dxa"/>
                </w:tcPr>
                <w:p w14:paraId="5F28A96F"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FF0000"/>
                      <w:sz w:val="18"/>
                      <w:szCs w:val="18"/>
                    </w:rPr>
                  </w:pPr>
                  <w:r w:rsidRPr="00EE4E59">
                    <w:rPr>
                      <w:rFonts w:ascii="Times New Roman" w:eastAsia="Times New Roman" w:hAnsi="Times New Roman" w:cs="Times New Roman"/>
                      <w:b/>
                      <w:bCs/>
                      <w:color w:val="FF0000"/>
                      <w:sz w:val="18"/>
                      <w:szCs w:val="18"/>
                    </w:rPr>
                    <w:t>High Limestone Substitution</w:t>
                  </w:r>
                </w:p>
              </w:tc>
              <w:tc>
                <w:tcPr>
                  <w:tcW w:w="3323" w:type="dxa"/>
                </w:tcPr>
                <w:p w14:paraId="35F8E8E2"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FF0000"/>
                      <w:sz w:val="18"/>
                      <w:szCs w:val="18"/>
                    </w:rPr>
                  </w:pPr>
                  <w:r w:rsidRPr="00EE4E59">
                    <w:rPr>
                      <w:rFonts w:ascii="Times New Roman" w:eastAsia="Times New Roman" w:hAnsi="Times New Roman" w:cs="Times New Roman"/>
                      <w:b/>
                      <w:bCs/>
                      <w:color w:val="FF0000"/>
                      <w:sz w:val="18"/>
                      <w:szCs w:val="18"/>
                    </w:rPr>
                    <w:t>Higher Limestone Substitution</w:t>
                  </w:r>
                </w:p>
              </w:tc>
            </w:tr>
            <w:tr w:rsidR="00F76085" w:rsidRPr="00EE4E59" w14:paraId="6FD02C40" w14:textId="77777777" w:rsidTr="007A49F8">
              <w:trPr>
                <w:trHeight w:val="629"/>
              </w:trPr>
              <w:tc>
                <w:tcPr>
                  <w:tcW w:w="1747" w:type="dxa"/>
                </w:tcPr>
                <w:p w14:paraId="2323F397"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1F497D" w:themeColor="text2"/>
                      <w:sz w:val="18"/>
                      <w:szCs w:val="18"/>
                    </w:rPr>
                  </w:pPr>
                  <w:r w:rsidRPr="00EE4E59">
                    <w:rPr>
                      <w:rFonts w:ascii="Times New Roman" w:eastAsia="Times New Roman" w:hAnsi="Times New Roman" w:cs="Times New Roman"/>
                      <w:b/>
                      <w:bCs/>
                      <w:color w:val="1F497D" w:themeColor="text2"/>
                      <w:sz w:val="18"/>
                      <w:szCs w:val="18"/>
                    </w:rPr>
                    <w:t>Control</w:t>
                  </w:r>
                </w:p>
              </w:tc>
              <w:tc>
                <w:tcPr>
                  <w:tcW w:w="3060" w:type="dxa"/>
                </w:tcPr>
                <w:p w14:paraId="3544B64E"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1F497D" w:themeColor="text2"/>
                      <w:sz w:val="18"/>
                      <w:szCs w:val="18"/>
                    </w:rPr>
                  </w:pPr>
                  <w:r w:rsidRPr="00EE4E59">
                    <w:rPr>
                      <w:rFonts w:ascii="Times New Roman" w:eastAsia="Times New Roman" w:hAnsi="Times New Roman" w:cs="Times New Roman"/>
                      <w:b/>
                      <w:bCs/>
                      <w:color w:val="1F497D" w:themeColor="text2"/>
                      <w:sz w:val="18"/>
                      <w:szCs w:val="18"/>
                    </w:rPr>
                    <w:t>Natural Poz</w:t>
                  </w:r>
                  <w:r>
                    <w:rPr>
                      <w:rFonts w:ascii="Times New Roman" w:eastAsia="Times New Roman" w:hAnsi="Times New Roman" w:cs="Times New Roman"/>
                      <w:b/>
                      <w:bCs/>
                      <w:color w:val="1F497D" w:themeColor="text2"/>
                      <w:sz w:val="18"/>
                      <w:szCs w:val="18"/>
                    </w:rPr>
                    <w:t>z</w:t>
                  </w:r>
                  <w:r w:rsidRPr="00EE4E59">
                    <w:rPr>
                      <w:rFonts w:ascii="Times New Roman" w:eastAsia="Times New Roman" w:hAnsi="Times New Roman" w:cs="Times New Roman"/>
                      <w:b/>
                      <w:bCs/>
                      <w:color w:val="1F497D" w:themeColor="text2"/>
                      <w:sz w:val="18"/>
                      <w:szCs w:val="18"/>
                    </w:rPr>
                    <w:t>olan (1)</w:t>
                  </w:r>
                </w:p>
              </w:tc>
              <w:tc>
                <w:tcPr>
                  <w:tcW w:w="3323" w:type="dxa"/>
                </w:tcPr>
                <w:p w14:paraId="2812AEFF"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b/>
                      <w:bCs/>
                      <w:color w:val="1F497D" w:themeColor="text2"/>
                      <w:sz w:val="18"/>
                      <w:szCs w:val="18"/>
                    </w:rPr>
                  </w:pPr>
                  <w:r w:rsidRPr="00EE4E59">
                    <w:rPr>
                      <w:rFonts w:ascii="Times New Roman" w:eastAsia="Times New Roman" w:hAnsi="Times New Roman" w:cs="Times New Roman"/>
                      <w:b/>
                      <w:bCs/>
                      <w:color w:val="1F497D" w:themeColor="text2"/>
                      <w:sz w:val="18"/>
                      <w:szCs w:val="18"/>
                    </w:rPr>
                    <w:t>Natural Pozzolan (2)</w:t>
                  </w:r>
                </w:p>
              </w:tc>
            </w:tr>
            <w:tr w:rsidR="00F76085" w:rsidRPr="00EE4E59" w14:paraId="22127B27" w14:textId="77777777" w:rsidTr="007A49F8">
              <w:tc>
                <w:tcPr>
                  <w:tcW w:w="1747" w:type="dxa"/>
                </w:tcPr>
                <w:p w14:paraId="203E7542" w14:textId="77777777" w:rsidR="00F76085" w:rsidRPr="00EE4E59" w:rsidRDefault="00F76085" w:rsidP="00F76085">
                  <w:pPr>
                    <w:pStyle w:val="ListParagraph"/>
                    <w:spacing w:after="0" w:line="240" w:lineRule="auto"/>
                    <w:ind w:left="0"/>
                    <w:contextualSpacing/>
                    <w:jc w:val="right"/>
                    <w:rPr>
                      <w:rFonts w:ascii="Times New Roman" w:eastAsia="Times New Roman" w:hAnsi="Times New Roman" w:cs="Times New Roman"/>
                      <w:sz w:val="18"/>
                      <w:szCs w:val="18"/>
                    </w:rPr>
                  </w:pPr>
                  <w:r w:rsidRPr="00EE4E59">
                    <w:rPr>
                      <w:rFonts w:ascii="Times New Roman" w:eastAsia="Times New Roman" w:hAnsi="Times New Roman" w:cs="Times New Roman"/>
                      <w:sz w:val="18"/>
                      <w:szCs w:val="18"/>
                    </w:rPr>
                    <w:sym w:font="Wingdings" w:char="F0E7"/>
                  </w:r>
                </w:p>
              </w:tc>
              <w:tc>
                <w:tcPr>
                  <w:tcW w:w="3060" w:type="dxa"/>
                </w:tcPr>
                <w:p w14:paraId="17252EEF" w14:textId="77777777" w:rsidR="00F76085" w:rsidRPr="00EE4E59" w:rsidRDefault="00F76085" w:rsidP="00F76085">
                  <w:pPr>
                    <w:pStyle w:val="ListParagraph"/>
                    <w:spacing w:after="0" w:line="240" w:lineRule="auto"/>
                    <w:ind w:left="0"/>
                    <w:contextualSpacing/>
                    <w:jc w:val="center"/>
                    <w:rPr>
                      <w:rFonts w:ascii="Times New Roman" w:eastAsia="Times New Roman" w:hAnsi="Times New Roman" w:cs="Times New Roman"/>
                      <w:sz w:val="18"/>
                      <w:szCs w:val="18"/>
                    </w:rPr>
                  </w:pPr>
                  <w:r w:rsidRPr="00EE4E59">
                    <w:rPr>
                      <w:rFonts w:ascii="Times New Roman" w:eastAsia="Times New Roman" w:hAnsi="Times New Roman" w:cs="Times New Roman"/>
                      <w:b/>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Shoulder</w:t>
                  </w:r>
                </w:p>
              </w:tc>
              <w:tc>
                <w:tcPr>
                  <w:tcW w:w="3323" w:type="dxa"/>
                </w:tcPr>
                <w:p w14:paraId="08864505" w14:textId="77777777" w:rsidR="00F76085" w:rsidRPr="00EE4E59" w:rsidRDefault="00F76085" w:rsidP="00F76085">
                  <w:pPr>
                    <w:pStyle w:val="ListParagraph"/>
                    <w:spacing w:after="0" w:line="240" w:lineRule="auto"/>
                    <w:ind w:left="0"/>
                    <w:contextualSpacing/>
                    <w:rPr>
                      <w:rFonts w:ascii="Times New Roman" w:eastAsia="Times New Roman" w:hAnsi="Times New Roman" w:cs="Times New Roman"/>
                      <w:sz w:val="18"/>
                      <w:szCs w:val="18"/>
                    </w:rPr>
                  </w:pPr>
                  <w:r w:rsidRPr="00EE4E59">
                    <w:rPr>
                      <w:rFonts w:ascii="Times New Roman" w:eastAsia="Times New Roman" w:hAnsi="Times New Roman" w:cs="Times New Roman"/>
                      <w:sz w:val="18"/>
                      <w:szCs w:val="18"/>
                    </w:rPr>
                    <w:sym w:font="Wingdings" w:char="F0E8"/>
                  </w:r>
                </w:p>
              </w:tc>
            </w:tr>
          </w:tbl>
          <w:p w14:paraId="3A13A190" w14:textId="075B2A34" w:rsidR="002D3965" w:rsidRPr="00E574C6" w:rsidRDefault="002D3965" w:rsidP="006B794B">
            <w:pPr>
              <w:spacing w:after="0" w:line="240" w:lineRule="auto"/>
              <w:contextualSpacing/>
              <w:rPr>
                <w:rFonts w:ascii="Times New Roman" w:hAnsi="Times New Roman"/>
                <w:sz w:val="22"/>
              </w:rPr>
            </w:pPr>
          </w:p>
        </w:tc>
      </w:tr>
    </w:tbl>
    <w:p w14:paraId="12502802" w14:textId="77777777" w:rsidR="00B72952" w:rsidRDefault="00B72952" w:rsidP="0060509E">
      <w:pPr>
        <w:spacing w:after="0" w:line="240" w:lineRule="auto"/>
        <w:ind w:right="-810"/>
        <w:rPr>
          <w:rFonts w:ascii="Times New Roman" w:eastAsia="Times New Roman" w:hAnsi="Times New Roman"/>
          <w:b/>
          <w:sz w:val="22"/>
        </w:rPr>
      </w:pPr>
    </w:p>
    <w:p w14:paraId="0155DC0F" w14:textId="564E3B92"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1FB3EA07" w14:textId="77777777" w:rsidR="00F76085" w:rsidRPr="00F76085" w:rsidRDefault="00F76085" w:rsidP="00F76085">
            <w:pPr>
              <w:spacing w:after="0" w:line="240" w:lineRule="auto"/>
              <w:contextualSpacing/>
              <w:rPr>
                <w:rFonts w:ascii="Times New Roman" w:hAnsi="Times New Roman"/>
                <w:sz w:val="22"/>
              </w:rPr>
            </w:pPr>
            <w:r w:rsidRPr="00F76085">
              <w:rPr>
                <w:rFonts w:ascii="Times New Roman" w:hAnsi="Times New Roman"/>
                <w:b/>
                <w:bCs/>
                <w:sz w:val="22"/>
              </w:rPr>
              <w:t>Sustainability</w:t>
            </w:r>
            <w:r w:rsidRPr="00F76085">
              <w:rPr>
                <w:rFonts w:ascii="Times New Roman" w:hAnsi="Times New Roman"/>
                <w:sz w:val="22"/>
              </w:rPr>
              <w:t>: If higher percentages of limestone substitution do not compromise durability, the potential cent reduction is sustainable. Moreover, if the natural pozzolans show long term mechanical strength and the advantages of low permeability, the natural pozzolans meet the definition of sustainability.</w:t>
            </w:r>
          </w:p>
          <w:p w14:paraId="5425BF9F" w14:textId="77777777" w:rsidR="00F76085" w:rsidRPr="00F76085" w:rsidRDefault="00F76085" w:rsidP="00F76085">
            <w:pPr>
              <w:spacing w:after="0" w:line="240" w:lineRule="auto"/>
              <w:contextualSpacing/>
              <w:rPr>
                <w:rFonts w:ascii="Times New Roman" w:hAnsi="Times New Roman"/>
                <w:sz w:val="22"/>
              </w:rPr>
            </w:pPr>
            <w:r w:rsidRPr="00F76085">
              <w:rPr>
                <w:rFonts w:ascii="Times New Roman" w:hAnsi="Times New Roman"/>
                <w:b/>
                <w:bCs/>
                <w:sz w:val="22"/>
              </w:rPr>
              <w:t>Resiliency</w:t>
            </w:r>
            <w:r w:rsidRPr="00F76085">
              <w:rPr>
                <w:rFonts w:ascii="Times New Roman" w:hAnsi="Times New Roman"/>
                <w:sz w:val="22"/>
              </w:rPr>
              <w:t>: The advantages of pozzolans lie in the Pozzolanic Reaction</w:t>
            </w:r>
          </w:p>
          <w:p w14:paraId="59A5574C" w14:textId="773D6F2D" w:rsidR="00F76085" w:rsidRPr="00F76085" w:rsidRDefault="00F76085" w:rsidP="00F76085">
            <w:pPr>
              <w:spacing w:after="0" w:line="240" w:lineRule="auto"/>
              <w:contextualSpacing/>
              <w:rPr>
                <w:rFonts w:ascii="Times New Roman" w:hAnsi="Times New Roman"/>
                <w:sz w:val="22"/>
              </w:rPr>
            </w:pPr>
            <w:r w:rsidRPr="00F76085">
              <w:rPr>
                <w:rFonts w:ascii="Times New Roman" w:hAnsi="Times New Roman"/>
                <w:sz w:val="22"/>
              </w:rPr>
              <w:t xml:space="preserve">Pozzolanic reaction occurs between calcium hydroxide and silicic acid, or </w:t>
            </w:r>
            <w:proofErr w:type="gramStart"/>
            <w:r w:rsidRPr="00F76085">
              <w:rPr>
                <w:rFonts w:ascii="Times New Roman" w:hAnsi="Times New Roman"/>
                <w:sz w:val="22"/>
              </w:rPr>
              <w:t>Si(</w:t>
            </w:r>
            <w:proofErr w:type="gramEnd"/>
            <w:r w:rsidRPr="00F76085">
              <w:rPr>
                <w:rFonts w:ascii="Times New Roman" w:hAnsi="Times New Roman"/>
                <w:sz w:val="22"/>
              </w:rPr>
              <w:t>OH)</w:t>
            </w:r>
            <w:r w:rsidRPr="00F76085">
              <w:rPr>
                <w:rFonts w:ascii="Times New Roman" w:hAnsi="Times New Roman"/>
                <w:sz w:val="22"/>
                <w:vertAlign w:val="subscript"/>
              </w:rPr>
              <w:t>4</w:t>
            </w:r>
            <w:r w:rsidRPr="00F76085">
              <w:rPr>
                <w:rFonts w:ascii="Times New Roman" w:hAnsi="Times New Roman"/>
                <w:sz w:val="22"/>
              </w:rPr>
              <w:t>, in the geochemical notation: Ca(OH)</w:t>
            </w:r>
            <w:r w:rsidRPr="00F76085">
              <w:rPr>
                <w:rFonts w:ascii="Times New Roman" w:hAnsi="Times New Roman"/>
                <w:sz w:val="22"/>
                <w:vertAlign w:val="subscript"/>
              </w:rPr>
              <w:t>2</w:t>
            </w:r>
            <w:r w:rsidRPr="00F76085">
              <w:rPr>
                <w:rFonts w:ascii="Times New Roman" w:hAnsi="Times New Roman"/>
                <w:sz w:val="22"/>
              </w:rPr>
              <w:t xml:space="preserve"> + H</w:t>
            </w:r>
            <w:r w:rsidRPr="00F76085">
              <w:rPr>
                <w:rFonts w:ascii="Times New Roman" w:hAnsi="Times New Roman"/>
                <w:sz w:val="22"/>
                <w:vertAlign w:val="subscript"/>
              </w:rPr>
              <w:t>4</w:t>
            </w:r>
            <w:r w:rsidRPr="00F76085">
              <w:rPr>
                <w:rFonts w:ascii="Times New Roman" w:hAnsi="Times New Roman"/>
                <w:sz w:val="22"/>
              </w:rPr>
              <w:t>SiO</w:t>
            </w:r>
            <w:r w:rsidRPr="00F76085">
              <w:rPr>
                <w:rFonts w:ascii="Times New Roman" w:hAnsi="Times New Roman"/>
                <w:sz w:val="22"/>
                <w:vertAlign w:val="subscript"/>
              </w:rPr>
              <w:t>4</w:t>
            </w:r>
            <w:r w:rsidRPr="00F76085">
              <w:rPr>
                <w:rFonts w:ascii="Times New Roman" w:hAnsi="Times New Roman"/>
                <w:sz w:val="22"/>
              </w:rPr>
              <w:t xml:space="preserve"> → CaH</w:t>
            </w:r>
            <w:r w:rsidRPr="00F76085">
              <w:rPr>
                <w:rFonts w:ascii="Times New Roman" w:hAnsi="Times New Roman"/>
                <w:sz w:val="22"/>
                <w:vertAlign w:val="subscript"/>
              </w:rPr>
              <w:t>2</w:t>
            </w:r>
            <w:r w:rsidRPr="00F76085">
              <w:rPr>
                <w:rFonts w:ascii="Times New Roman" w:hAnsi="Times New Roman"/>
                <w:sz w:val="22"/>
              </w:rPr>
              <w:t>SiO</w:t>
            </w:r>
            <w:r w:rsidRPr="00F76085">
              <w:rPr>
                <w:rFonts w:ascii="Times New Roman" w:hAnsi="Times New Roman"/>
                <w:sz w:val="22"/>
                <w:vertAlign w:val="subscript"/>
              </w:rPr>
              <w:t>4</w:t>
            </w:r>
            <w:r w:rsidRPr="00F76085">
              <w:rPr>
                <w:rFonts w:ascii="Times New Roman" w:hAnsi="Times New Roman"/>
                <w:sz w:val="22"/>
              </w:rPr>
              <w:t>·2 H</w:t>
            </w:r>
            <w:r w:rsidRPr="00F76085">
              <w:rPr>
                <w:rFonts w:ascii="Times New Roman" w:hAnsi="Times New Roman"/>
                <w:sz w:val="22"/>
                <w:vertAlign w:val="subscript"/>
              </w:rPr>
              <w:t>2</w:t>
            </w:r>
            <w:r w:rsidRPr="00F76085">
              <w:rPr>
                <w:rFonts w:ascii="Times New Roman" w:hAnsi="Times New Roman"/>
                <w:sz w:val="22"/>
              </w:rPr>
              <w:t xml:space="preserve">O                                                                                                                      </w:t>
            </w:r>
          </w:p>
          <w:p w14:paraId="3712E736" w14:textId="77777777" w:rsidR="00F76085" w:rsidRPr="00F76085" w:rsidRDefault="00F76085" w:rsidP="00F76085">
            <w:pPr>
              <w:spacing w:after="0" w:line="240" w:lineRule="auto"/>
              <w:contextualSpacing/>
              <w:rPr>
                <w:rFonts w:ascii="Times New Roman" w:hAnsi="Times New Roman"/>
                <w:sz w:val="22"/>
              </w:rPr>
            </w:pPr>
            <w:r w:rsidRPr="00F76085">
              <w:rPr>
                <w:rFonts w:ascii="Times New Roman" w:hAnsi="Times New Roman"/>
                <w:sz w:val="22"/>
              </w:rPr>
              <w:t xml:space="preserve">or in cement chemistry notation: </w:t>
            </w:r>
          </w:p>
          <w:p w14:paraId="6B3CCBF8" w14:textId="3464190E" w:rsidR="00F76085" w:rsidRPr="00F76085" w:rsidRDefault="00F76085" w:rsidP="00F76085">
            <w:pPr>
              <w:spacing w:after="0" w:line="240" w:lineRule="auto"/>
              <w:contextualSpacing/>
              <w:rPr>
                <w:rFonts w:ascii="Times New Roman" w:hAnsi="Times New Roman"/>
                <w:b/>
                <w:bCs/>
                <w:sz w:val="22"/>
              </w:rPr>
            </w:pPr>
            <w:r w:rsidRPr="00F76085">
              <w:rPr>
                <w:rFonts w:ascii="Times New Roman" w:hAnsi="Times New Roman"/>
                <w:sz w:val="22"/>
              </w:rPr>
              <w:t xml:space="preserve">CH + SH → C-S-H                                                                                                                                                        </w:t>
            </w:r>
          </w:p>
          <w:p w14:paraId="1669E2A1" w14:textId="77777777" w:rsidR="00F76085" w:rsidRPr="00F76085" w:rsidRDefault="00F76085" w:rsidP="00F76085">
            <w:pPr>
              <w:spacing w:after="0" w:line="240" w:lineRule="auto"/>
              <w:contextualSpacing/>
              <w:rPr>
                <w:rFonts w:ascii="Times New Roman" w:hAnsi="Times New Roman"/>
                <w:sz w:val="22"/>
              </w:rPr>
            </w:pPr>
            <w:r w:rsidRPr="00F76085">
              <w:rPr>
                <w:rFonts w:ascii="Times New Roman" w:hAnsi="Times New Roman"/>
                <w:sz w:val="22"/>
              </w:rPr>
              <w:t>The strength of the concrete as well as low permeability and reduced shrinkage potential are provided by the CSH whereupon, pozzolana, provide these benefits leading to resilience.</w:t>
            </w:r>
          </w:p>
          <w:p w14:paraId="4EE71762" w14:textId="5F705419" w:rsidR="0060509E" w:rsidRPr="00D365A4" w:rsidRDefault="0060509E" w:rsidP="006B794B">
            <w:pPr>
              <w:spacing w:after="0" w:line="240" w:lineRule="auto"/>
              <w:contextualSpacing/>
              <w:rPr>
                <w:rFonts w:ascii="Times New Roman" w:hAnsi="Times New Roman"/>
                <w:sz w:val="22"/>
              </w:rPr>
            </w:pPr>
          </w:p>
        </w:tc>
      </w:tr>
    </w:tbl>
    <w:p w14:paraId="68FBB099" w14:textId="77777777" w:rsidR="00CD3C40" w:rsidRDefault="00CD3C40" w:rsidP="00A82009">
      <w:pPr>
        <w:spacing w:after="0" w:line="240" w:lineRule="auto"/>
        <w:ind w:right="-810"/>
        <w:rPr>
          <w:rFonts w:ascii="Times New Roman" w:eastAsia="Times New Roman" w:hAnsi="Times New Roman"/>
          <w:b/>
          <w:sz w:val="22"/>
        </w:rPr>
      </w:pPr>
    </w:p>
    <w:p w14:paraId="4E3A7B35" w14:textId="35B12C42"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684EEB3B" w:rsidR="00A82009" w:rsidRPr="00D365A4" w:rsidRDefault="00DF7CE0" w:rsidP="00B72952">
            <w:pPr>
              <w:spacing w:after="0" w:line="240" w:lineRule="auto"/>
              <w:contextualSpacing/>
              <w:rPr>
                <w:rFonts w:ascii="Times New Roman" w:hAnsi="Times New Roman"/>
                <w:sz w:val="22"/>
              </w:rPr>
            </w:pPr>
            <w:r>
              <w:rPr>
                <w:rFonts w:ascii="Times New Roman" w:hAnsi="Times New Roman"/>
                <w:sz w:val="22"/>
              </w:rPr>
              <w:t xml:space="preserve">There </w:t>
            </w:r>
            <w:r w:rsidR="00123A8B">
              <w:rPr>
                <w:rFonts w:ascii="Times New Roman" w:hAnsi="Times New Roman"/>
                <w:sz w:val="22"/>
              </w:rPr>
              <w:t>may be opportunities to include features from other Rigid Team initiatives, and/or the selection of various base materials by the NRRA Geotech team.</w:t>
            </w:r>
          </w:p>
        </w:tc>
      </w:tr>
    </w:tbl>
    <w:p w14:paraId="57C2DE6B" w14:textId="77777777" w:rsidR="00CD3C40" w:rsidRDefault="00CD3C40" w:rsidP="00F64C40">
      <w:pPr>
        <w:spacing w:after="0" w:line="240" w:lineRule="auto"/>
        <w:ind w:right="-810"/>
        <w:rPr>
          <w:rFonts w:ascii="Times New Roman" w:eastAsia="Times New Roman" w:hAnsi="Times New Roman"/>
          <w:b/>
          <w:sz w:val="22"/>
        </w:rPr>
      </w:pPr>
    </w:p>
    <w:p w14:paraId="39F17D61" w14:textId="1AB2C882"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6F9F928E" w:rsidR="00F64C40" w:rsidRPr="00D365A4" w:rsidRDefault="00123A8B" w:rsidP="004F1F40">
            <w:pPr>
              <w:spacing w:after="0" w:line="240" w:lineRule="auto"/>
              <w:contextualSpacing/>
              <w:rPr>
                <w:rFonts w:ascii="Times New Roman" w:hAnsi="Times New Roman"/>
                <w:sz w:val="22"/>
              </w:rPr>
            </w:pPr>
            <w:r w:rsidRPr="00123A8B">
              <w:rPr>
                <w:rFonts w:ascii="Times New Roman" w:hAnsi="Times New Roman"/>
                <w:sz w:val="22"/>
              </w:rPr>
              <w:t>Member states will receive from this study an imprimatur or increased confidence in the usage of ternary or quaternary blends. This study will provide the limits for limestone inclusion which will also serve as guidance to the industry and agencies.</w:t>
            </w:r>
            <w:r w:rsidR="004F1F40">
              <w:rPr>
                <w:rFonts w:ascii="Times New Roman" w:hAnsi="Times New Roman"/>
                <w:sz w:val="22"/>
              </w:rPr>
              <w:t xml:space="preserve"> </w:t>
            </w:r>
            <w:r w:rsidR="00E57855" w:rsidRPr="00E57855">
              <w:rPr>
                <w:rFonts w:ascii="Times New Roman" w:hAnsi="Times New Roman"/>
                <w:color w:val="000000" w:themeColor="text1"/>
                <w:sz w:val="22"/>
              </w:rPr>
              <w:t xml:space="preserve">Implementation would </w:t>
            </w:r>
            <w:r w:rsidR="00E57855">
              <w:rPr>
                <w:rFonts w:ascii="Times New Roman" w:hAnsi="Times New Roman"/>
                <w:color w:val="000000" w:themeColor="text1"/>
                <w:sz w:val="22"/>
              </w:rPr>
              <w:t xml:space="preserve">involve </w:t>
            </w:r>
            <w:r w:rsidR="00E57855"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p>
        </w:tc>
      </w:tr>
    </w:tbl>
    <w:p w14:paraId="6140F05E" w14:textId="77777777" w:rsidR="00F64C40" w:rsidRPr="00FF605D" w:rsidRDefault="00F64C40" w:rsidP="00F64C40">
      <w:pPr>
        <w:spacing w:after="0" w:line="240" w:lineRule="auto"/>
        <w:rPr>
          <w:rFonts w:ascii="Times New Roman" w:eastAsia="Times New Roman" w:hAnsi="Times New Roman"/>
          <w:b/>
          <w:sz w:val="22"/>
        </w:rPr>
      </w:pPr>
    </w:p>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AD31" w14:textId="77777777" w:rsidR="00E57855" w:rsidRDefault="00E57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624C" w14:textId="77777777" w:rsidR="00E57855" w:rsidRDefault="00E57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89DA" w14:textId="77777777" w:rsidR="00E57855" w:rsidRDefault="00E5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3B9" w14:textId="28F35E65" w:rsidR="00E57855" w:rsidRDefault="00E5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62D50AA0"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9"/>
  </w:num>
  <w:num w:numId="10">
    <w:abstractNumId w:val="9"/>
  </w:num>
  <w:num w:numId="11">
    <w:abstractNumId w:val="22"/>
  </w:num>
  <w:num w:numId="12">
    <w:abstractNumId w:val="13"/>
  </w:num>
  <w:num w:numId="13">
    <w:abstractNumId w:val="14"/>
  </w:num>
  <w:num w:numId="14">
    <w:abstractNumId w:val="28"/>
  </w:num>
  <w:num w:numId="15">
    <w:abstractNumId w:val="20"/>
  </w:num>
  <w:num w:numId="16">
    <w:abstractNumId w:val="16"/>
  </w:num>
  <w:num w:numId="17">
    <w:abstractNumId w:val="7"/>
  </w:num>
  <w:num w:numId="18">
    <w:abstractNumId w:val="4"/>
  </w:num>
  <w:num w:numId="19">
    <w:abstractNumId w:val="25"/>
  </w:num>
  <w:num w:numId="20">
    <w:abstractNumId w:val="17"/>
  </w:num>
  <w:num w:numId="21">
    <w:abstractNumId w:val="12"/>
  </w:num>
  <w:num w:numId="22">
    <w:abstractNumId w:val="26"/>
  </w:num>
  <w:num w:numId="23">
    <w:abstractNumId w:val="24"/>
  </w:num>
  <w:num w:numId="24">
    <w:abstractNumId w:val="18"/>
  </w:num>
  <w:num w:numId="25">
    <w:abstractNumId w:val="3"/>
  </w:num>
  <w:num w:numId="26">
    <w:abstractNumId w:val="11"/>
  </w:num>
  <w:num w:numId="27">
    <w:abstractNumId w:val="6"/>
  </w:num>
  <w:num w:numId="28">
    <w:abstractNumId w:val="27"/>
  </w:num>
  <w:num w:numId="29">
    <w:abstractNumId w:val="23"/>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333D"/>
    <w:rsid w:val="00074047"/>
    <w:rsid w:val="00085F64"/>
    <w:rsid w:val="00091E7C"/>
    <w:rsid w:val="00096C06"/>
    <w:rsid w:val="00097147"/>
    <w:rsid w:val="000A1FBA"/>
    <w:rsid w:val="000C7423"/>
    <w:rsid w:val="000E0024"/>
    <w:rsid w:val="000E022D"/>
    <w:rsid w:val="000F5BCB"/>
    <w:rsid w:val="000F7E1D"/>
    <w:rsid w:val="00102EC8"/>
    <w:rsid w:val="00106B6D"/>
    <w:rsid w:val="001126E4"/>
    <w:rsid w:val="001202DB"/>
    <w:rsid w:val="00123A8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1A9E"/>
    <w:rsid w:val="00232BF3"/>
    <w:rsid w:val="00235283"/>
    <w:rsid w:val="00236755"/>
    <w:rsid w:val="002403EE"/>
    <w:rsid w:val="00252D83"/>
    <w:rsid w:val="00253B5D"/>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E51B0"/>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1F40"/>
    <w:rsid w:val="004F23A0"/>
    <w:rsid w:val="004F50A3"/>
    <w:rsid w:val="005072BF"/>
    <w:rsid w:val="005109C5"/>
    <w:rsid w:val="0051121D"/>
    <w:rsid w:val="0055152C"/>
    <w:rsid w:val="00554822"/>
    <w:rsid w:val="00560D0A"/>
    <w:rsid w:val="00576CDD"/>
    <w:rsid w:val="00592F17"/>
    <w:rsid w:val="005A25E1"/>
    <w:rsid w:val="005A5A4E"/>
    <w:rsid w:val="005A5E39"/>
    <w:rsid w:val="005B3845"/>
    <w:rsid w:val="005B5421"/>
    <w:rsid w:val="005C14B4"/>
    <w:rsid w:val="005C1BB6"/>
    <w:rsid w:val="005C64A8"/>
    <w:rsid w:val="005E3890"/>
    <w:rsid w:val="0060509E"/>
    <w:rsid w:val="00610183"/>
    <w:rsid w:val="0061475D"/>
    <w:rsid w:val="00621901"/>
    <w:rsid w:val="00621DC8"/>
    <w:rsid w:val="00621E1F"/>
    <w:rsid w:val="00621F2D"/>
    <w:rsid w:val="00627292"/>
    <w:rsid w:val="00653843"/>
    <w:rsid w:val="0065703E"/>
    <w:rsid w:val="00665454"/>
    <w:rsid w:val="00676433"/>
    <w:rsid w:val="00691F0D"/>
    <w:rsid w:val="00692D04"/>
    <w:rsid w:val="00692E0F"/>
    <w:rsid w:val="0069391E"/>
    <w:rsid w:val="00696507"/>
    <w:rsid w:val="006B71A3"/>
    <w:rsid w:val="006B7728"/>
    <w:rsid w:val="006B794B"/>
    <w:rsid w:val="006C2FCC"/>
    <w:rsid w:val="006D78B3"/>
    <w:rsid w:val="006E0381"/>
    <w:rsid w:val="006E77C3"/>
    <w:rsid w:val="00703079"/>
    <w:rsid w:val="0070453C"/>
    <w:rsid w:val="00704919"/>
    <w:rsid w:val="00705EE9"/>
    <w:rsid w:val="007100FC"/>
    <w:rsid w:val="00715F48"/>
    <w:rsid w:val="00721925"/>
    <w:rsid w:val="00731DB8"/>
    <w:rsid w:val="00732CE0"/>
    <w:rsid w:val="00757CB9"/>
    <w:rsid w:val="007743F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63487"/>
    <w:rsid w:val="00873BFA"/>
    <w:rsid w:val="00882922"/>
    <w:rsid w:val="00884F17"/>
    <w:rsid w:val="008857E0"/>
    <w:rsid w:val="00893181"/>
    <w:rsid w:val="00894D2F"/>
    <w:rsid w:val="00897C0D"/>
    <w:rsid w:val="008A03F0"/>
    <w:rsid w:val="008B2B7A"/>
    <w:rsid w:val="008B36EA"/>
    <w:rsid w:val="008C14EF"/>
    <w:rsid w:val="008C5E25"/>
    <w:rsid w:val="008D29C7"/>
    <w:rsid w:val="008D688D"/>
    <w:rsid w:val="008F17F9"/>
    <w:rsid w:val="00905932"/>
    <w:rsid w:val="00916F3F"/>
    <w:rsid w:val="009308E5"/>
    <w:rsid w:val="00940934"/>
    <w:rsid w:val="0095219C"/>
    <w:rsid w:val="009555D3"/>
    <w:rsid w:val="00962B8F"/>
    <w:rsid w:val="00967973"/>
    <w:rsid w:val="00967A26"/>
    <w:rsid w:val="009744D8"/>
    <w:rsid w:val="00974A24"/>
    <w:rsid w:val="00986B9E"/>
    <w:rsid w:val="00995519"/>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4798"/>
    <w:rsid w:val="00B5633B"/>
    <w:rsid w:val="00B6336A"/>
    <w:rsid w:val="00B64B84"/>
    <w:rsid w:val="00B72952"/>
    <w:rsid w:val="00B85C9C"/>
    <w:rsid w:val="00B94AE4"/>
    <w:rsid w:val="00BB18D7"/>
    <w:rsid w:val="00BB548D"/>
    <w:rsid w:val="00BC07D3"/>
    <w:rsid w:val="00BC1DF7"/>
    <w:rsid w:val="00BC5A36"/>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0785"/>
    <w:rsid w:val="00CA0B28"/>
    <w:rsid w:val="00CA2EC5"/>
    <w:rsid w:val="00CA4258"/>
    <w:rsid w:val="00CB21AB"/>
    <w:rsid w:val="00CB7E24"/>
    <w:rsid w:val="00CD042E"/>
    <w:rsid w:val="00CD3C40"/>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B0D9B"/>
    <w:rsid w:val="00DB2A74"/>
    <w:rsid w:val="00DC0124"/>
    <w:rsid w:val="00DC2297"/>
    <w:rsid w:val="00DC349B"/>
    <w:rsid w:val="00DF5967"/>
    <w:rsid w:val="00DF7CE0"/>
    <w:rsid w:val="00E00D0D"/>
    <w:rsid w:val="00E248E2"/>
    <w:rsid w:val="00E32864"/>
    <w:rsid w:val="00E40A90"/>
    <w:rsid w:val="00E42622"/>
    <w:rsid w:val="00E574C6"/>
    <w:rsid w:val="00E57855"/>
    <w:rsid w:val="00E666A8"/>
    <w:rsid w:val="00E76679"/>
    <w:rsid w:val="00E770A3"/>
    <w:rsid w:val="00E87076"/>
    <w:rsid w:val="00E92D13"/>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76085"/>
    <w:rsid w:val="00F85313"/>
    <w:rsid w:val="00F93728"/>
    <w:rsid w:val="00F93FED"/>
    <w:rsid w:val="00FB1F13"/>
    <w:rsid w:val="00FC4AA0"/>
    <w:rsid w:val="00FE0BEC"/>
    <w:rsid w:val="00FE1FD6"/>
    <w:rsid w:val="00FE2350"/>
    <w:rsid w:val="00FE53AD"/>
    <w:rsid w:val="00FE79EC"/>
    <w:rsid w:val="00FE7B95"/>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547908990">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5</cp:revision>
  <cp:lastPrinted>2016-08-03T15:58:00Z</cp:lastPrinted>
  <dcterms:created xsi:type="dcterms:W3CDTF">2021-04-12T19:49:00Z</dcterms:created>
  <dcterms:modified xsi:type="dcterms:W3CDTF">2021-04-12T20:36:00Z</dcterms:modified>
</cp:coreProperties>
</file>