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DC25D5" w14:textId="77777777" w:rsidR="00BC176C" w:rsidRPr="00E569B8" w:rsidRDefault="00010210">
      <w:pPr>
        <w:spacing w:before="480" w:line="240" w:lineRule="auto"/>
        <w:rPr>
          <w:rFonts w:ascii="Times New Roman" w:hAnsi="Times New Roman"/>
          <w:b/>
          <w:bCs/>
          <w:sz w:val="24"/>
          <w:szCs w:val="24"/>
        </w:rPr>
      </w:pPr>
      <w:bookmarkStart w:id="0" w:name="_Hlk39133163"/>
      <w:bookmarkEnd w:id="0"/>
      <w:r w:rsidRPr="0095395C">
        <w:rPr>
          <w:rFonts w:ascii="Times New Roman" w:hAnsi="Times New Roman"/>
          <w:b/>
          <w:bCs/>
          <w:color w:val="003865"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Title:</w:t>
      </w:r>
      <w:r w:rsidRPr="0095395C">
        <w:rPr>
          <w:rFonts w:ascii="Times New Roman" w:hAnsi="Times New Roman"/>
          <w:sz w:val="24"/>
          <w:szCs w:val="24"/>
        </w:rPr>
        <w:t xml:space="preserve"> </w:t>
      </w:r>
      <w:r w:rsidRPr="00E569B8">
        <w:rPr>
          <w:rFonts w:ascii="Times New Roman" w:hAnsi="Times New Roman"/>
          <w:b/>
          <w:bCs/>
          <w:sz w:val="24"/>
          <w:szCs w:val="24"/>
        </w:rPr>
        <w:t xml:space="preserve">Continuous Moisture Measurement during Pavement Foundation Construction </w:t>
      </w:r>
    </w:p>
    <w:p w14:paraId="42A4328C" w14:textId="77777777" w:rsidR="00BC176C" w:rsidRDefault="00010210">
      <w:pPr>
        <w:spacing w:before="240" w:after="0" w:line="240" w:lineRule="auto"/>
      </w:pPr>
      <w:r w:rsidRPr="007742ED">
        <w:rPr>
          <w:rFonts w:ascii="Times New Roman" w:hAnsi="Times New Roman"/>
          <w:b/>
          <w:bCs/>
          <w:color w:val="003865"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Authors:</w:t>
      </w:r>
      <w:r>
        <w:rPr>
          <w:rFonts w:ascii="Times New Roman" w:hAnsi="Times New Roman"/>
          <w:b/>
        </w:rPr>
        <w:t xml:space="preserve">  </w:t>
      </w:r>
      <w:r>
        <w:rPr>
          <w:rFonts w:ascii="Times New Roman" w:hAnsi="Times New Roman"/>
        </w:rPr>
        <w:t xml:space="preserve">Soheil Nazarian, UTEP, </w:t>
      </w:r>
      <w:hyperlink r:id="rId8">
        <w:r>
          <w:rPr>
            <w:rStyle w:val="InternetLink"/>
            <w:rFonts w:ascii="Times New Roman" w:hAnsi="Times New Roman"/>
          </w:rPr>
          <w:t>nazarian@utep.edu</w:t>
        </w:r>
      </w:hyperlink>
      <w:r>
        <w:rPr>
          <w:rFonts w:ascii="Times New Roman" w:hAnsi="Times New Roman"/>
        </w:rPr>
        <w:t xml:space="preserve">, </w:t>
      </w:r>
    </w:p>
    <w:p w14:paraId="3033FA5B" w14:textId="77777777" w:rsidR="00BC176C" w:rsidRDefault="00E64F3C">
      <w:pPr>
        <w:pStyle w:val="ListParagraph"/>
        <w:spacing w:before="0" w:after="0" w:line="240" w:lineRule="auto"/>
        <w:ind w:left="900"/>
      </w:pPr>
      <w:r>
        <w:rPr>
          <w:rFonts w:ascii="Times New Roman" w:hAnsi="Times New Roman"/>
        </w:rPr>
        <w:t xml:space="preserve">  </w:t>
      </w:r>
      <w:r w:rsidR="00010210">
        <w:rPr>
          <w:rFonts w:ascii="Times New Roman" w:hAnsi="Times New Roman"/>
        </w:rPr>
        <w:t xml:space="preserve">Mark Baker, Private Consultant, </w:t>
      </w:r>
      <w:hyperlink r:id="rId9">
        <w:r w:rsidR="00010210">
          <w:rPr>
            <w:rStyle w:val="InternetLink"/>
            <w:rFonts w:ascii="Times New Roman" w:hAnsi="Times New Roman"/>
          </w:rPr>
          <w:t>bakergrd@cs.com</w:t>
        </w:r>
      </w:hyperlink>
      <w:r w:rsidR="00010210">
        <w:rPr>
          <w:rFonts w:ascii="Times New Roman" w:hAnsi="Times New Roman"/>
        </w:rPr>
        <w:t xml:space="preserve"> </w:t>
      </w:r>
    </w:p>
    <w:p w14:paraId="55183233" w14:textId="077E3940" w:rsidR="00BC176C" w:rsidRDefault="00010210">
      <w:pPr>
        <w:spacing w:before="240" w:after="120" w:line="240" w:lineRule="auto"/>
        <w:jc w:val="both"/>
      </w:pPr>
      <w:r w:rsidRPr="007742ED">
        <w:rPr>
          <w:rFonts w:ascii="Times New Roman" w:hAnsi="Times New Roman"/>
          <w:b/>
          <w:bCs/>
          <w:color w:val="003865"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Abstract:</w:t>
      </w:r>
      <w:r>
        <w:rPr>
          <w:rFonts w:ascii="Times New Roman" w:hAnsi="Times New Roman"/>
        </w:rPr>
        <w:t xml:space="preserve"> Accurate and timely moisture measurement of earthwork during compaction of foundation layers is crucial to proper construction and long-term durability of the pavement structures.  Since the traditional methods for measuring moisture are point specific, expensive</w:t>
      </w:r>
      <w:r w:rsidR="00932749">
        <w:rPr>
          <w:rFonts w:ascii="Times New Roman" w:hAnsi="Times New Roman"/>
        </w:rPr>
        <w:t>,</w:t>
      </w:r>
      <w:r>
        <w:rPr>
          <w:rFonts w:ascii="Times New Roman" w:hAnsi="Times New Roman"/>
        </w:rPr>
        <w:t xml:space="preserve"> and/or time consuming, it is desirable to explore new devices that can provide the full coverage of the spatial variation of moisture. </w:t>
      </w:r>
    </w:p>
    <w:p w14:paraId="1C4AB0C3" w14:textId="77777777" w:rsidR="00BC176C" w:rsidRDefault="00010210">
      <w:pPr>
        <w:spacing w:before="120" w:after="0" w:line="240" w:lineRule="auto"/>
        <w:jc w:val="both"/>
        <w:rPr>
          <w:rFonts w:ascii="Times New Roman" w:hAnsi="Times New Roman"/>
          <w:b/>
        </w:rPr>
      </w:pPr>
      <w:r>
        <w:rPr>
          <w:rFonts w:ascii="Times New Roman" w:hAnsi="Times New Roman"/>
        </w:rPr>
        <w:t>This project will document the current state of knowledge concerning field moisture measurement during pavement foundation construction that also includes case studies that demonstrate cost savings resulting from more effective moisture measurement.  This project will also provide critical information regarding the most effective moisture measurement devices suitable for improving compaction near structures such as retaining walls and bridge abutments.  Finally, this proposal will demonstrate a prototype device capable of continuously measuring moisture during pavement foundation construction.</w:t>
      </w:r>
    </w:p>
    <w:p w14:paraId="786BE155" w14:textId="32B618B9" w:rsidR="00BC176C" w:rsidRDefault="00010210">
      <w:pPr>
        <w:spacing w:before="240" w:after="120" w:line="240" w:lineRule="auto"/>
        <w:jc w:val="both"/>
      </w:pPr>
      <w:r w:rsidRPr="007742ED">
        <w:rPr>
          <w:rFonts w:ascii="Times New Roman" w:hAnsi="Times New Roman"/>
          <w:b/>
          <w:bCs/>
          <w:color w:val="003865"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Introduction:</w:t>
      </w:r>
      <w:r>
        <w:rPr>
          <w:rFonts w:ascii="Times New Roman" w:hAnsi="Times New Roman"/>
        </w:rPr>
        <w:t xml:space="preserve">  In a series of publications (e.g., Tatsuoka and Correia, 2018), </w:t>
      </w:r>
      <w:proofErr w:type="spellStart"/>
      <w:r>
        <w:rPr>
          <w:rFonts w:ascii="Times New Roman" w:hAnsi="Times New Roman"/>
        </w:rPr>
        <w:t>Tatsuoka</w:t>
      </w:r>
      <w:proofErr w:type="spellEnd"/>
      <w:r>
        <w:rPr>
          <w:rFonts w:ascii="Times New Roman" w:hAnsi="Times New Roman"/>
        </w:rPr>
        <w:t>, Correia</w:t>
      </w:r>
      <w:r w:rsidR="00932749">
        <w:rPr>
          <w:rFonts w:ascii="Times New Roman" w:hAnsi="Times New Roman"/>
        </w:rPr>
        <w:t>,</w:t>
      </w:r>
      <w:r>
        <w:rPr>
          <w:rFonts w:ascii="Times New Roman" w:hAnsi="Times New Roman"/>
        </w:rPr>
        <w:t xml:space="preserve"> and their colleagues showed the importance of controlling the moisture content and degree of saturation during the construction of unbound pavement layers. Failing to estimate the moisture content accurately and </w:t>
      </w:r>
      <w:r w:rsidR="00932749">
        <w:rPr>
          <w:rFonts w:ascii="Times New Roman" w:hAnsi="Times New Roman"/>
        </w:rPr>
        <w:t>promptly</w:t>
      </w:r>
      <w:r>
        <w:rPr>
          <w:rFonts w:ascii="Times New Roman" w:hAnsi="Times New Roman"/>
        </w:rPr>
        <w:t xml:space="preserve"> during construction may negatively impact the proper quality control/quality assurance (QC/QA) of compacted geomaterials (</w:t>
      </w:r>
      <w:r w:rsidR="007742ED">
        <w:rPr>
          <w:rFonts w:ascii="Times New Roman" w:hAnsi="Times New Roman"/>
        </w:rPr>
        <w:t xml:space="preserve">Roberson and Siekmeier, 2002; </w:t>
      </w:r>
      <w:r>
        <w:rPr>
          <w:rFonts w:ascii="Times New Roman" w:hAnsi="Times New Roman"/>
        </w:rPr>
        <w:t>Nazarian et al., 2014).  Although numerous methods and techniques have been proposed to measure moisture content, none of them have been able to deliver real-time, continuous moisture measurements that would aid the engineers in delivering more durable pavement structures.</w:t>
      </w:r>
    </w:p>
    <w:p w14:paraId="5DB0786E" w14:textId="0EDF3060" w:rsidR="00BC176C" w:rsidRDefault="00010210">
      <w:pPr>
        <w:spacing w:before="0" w:after="120" w:line="240" w:lineRule="auto"/>
        <w:jc w:val="both"/>
      </w:pPr>
      <w:r>
        <w:rPr>
          <w:rFonts w:ascii="Times New Roman" w:hAnsi="Times New Roman"/>
        </w:rPr>
        <w:t xml:space="preserve">Several techniques for determining </w:t>
      </w:r>
      <w:r w:rsidR="00932749">
        <w:rPr>
          <w:rFonts w:ascii="Times New Roman" w:hAnsi="Times New Roman"/>
        </w:rPr>
        <w:t xml:space="preserve">the </w:t>
      </w:r>
      <w:r>
        <w:rPr>
          <w:rFonts w:ascii="Times New Roman" w:hAnsi="Times New Roman"/>
        </w:rPr>
        <w:t xml:space="preserve">moisture content of geomaterials have been proposed throughout the years. These techniques, which can be classified based on their approaches and measuring principles, are normally divided into direct and indirect categories (Svensson, 1997). The </w:t>
      </w:r>
      <w:r w:rsidR="00675CCA">
        <w:rPr>
          <w:rFonts w:ascii="Times New Roman" w:hAnsi="Times New Roman"/>
        </w:rPr>
        <w:t>d</w:t>
      </w:r>
      <w:r>
        <w:rPr>
          <w:rFonts w:ascii="Times New Roman" w:hAnsi="Times New Roman"/>
        </w:rPr>
        <w:t xml:space="preserve">irect </w:t>
      </w:r>
      <w:r w:rsidR="00675CCA">
        <w:rPr>
          <w:rFonts w:ascii="Times New Roman" w:hAnsi="Times New Roman"/>
        </w:rPr>
        <w:t>m</w:t>
      </w:r>
      <w:r>
        <w:rPr>
          <w:rFonts w:ascii="Times New Roman" w:hAnsi="Times New Roman"/>
        </w:rPr>
        <w:t xml:space="preserve">ethod </w:t>
      </w:r>
      <w:r>
        <w:rPr>
          <w:rFonts w:ascii="Times New Roman" w:hAnsi="Times New Roman"/>
          <w:color w:val="222222"/>
          <w:shd w:val="clear" w:color="auto" w:fill="FFFFFF"/>
        </w:rPr>
        <w:t xml:space="preserve">consists of extracting a soil sample from the desired location to be investigated. The soil sample is weighed before and after drying in an oven at a maximum temperature of 105°C (220°F). This is the gold standard for measuring the moisture content. However, it is neither nondestructive, continuous, nor real-time.  </w:t>
      </w:r>
    </w:p>
    <w:p w14:paraId="56090C38" w14:textId="77777777" w:rsidR="00BC176C" w:rsidRPr="00675CCA" w:rsidRDefault="00010210">
      <w:pPr>
        <w:spacing w:before="0" w:after="120" w:line="240" w:lineRule="auto"/>
        <w:jc w:val="both"/>
      </w:pPr>
      <w:r w:rsidRPr="00675CCA">
        <w:rPr>
          <w:rFonts w:ascii="Times New Roman" w:hAnsi="Times New Roman"/>
        </w:rPr>
        <w:t>Indirect methods are based on the use of a radiation source or a probe in the soil for the measurement of moisture contents. Some examples of these methods (see Table 1) consist of the time domain reflectometry, ground penetrating radar (GPR), electromagnetic/dielectric measurements, soil resistivity/conductivity, etc. None of these methods measure the water content directly.  They each measure a parameter that is correlated with the water content in the soil. Some of these methods only provide spot measurements, some require probe insertion, while most are typically nondestructive since the soil is only disturbed during installation (Evett et al</w:t>
      </w:r>
      <w:r w:rsidR="007742ED" w:rsidRPr="00675CCA">
        <w:rPr>
          <w:rFonts w:ascii="Times New Roman" w:hAnsi="Times New Roman"/>
        </w:rPr>
        <w:t>.</w:t>
      </w:r>
      <w:r w:rsidRPr="00675CCA">
        <w:rPr>
          <w:rFonts w:ascii="Times New Roman" w:hAnsi="Times New Roman"/>
        </w:rPr>
        <w:t xml:space="preserve">, 2008). </w:t>
      </w:r>
    </w:p>
    <w:p w14:paraId="3426AEA4" w14:textId="77777777" w:rsidR="00BC176C" w:rsidRDefault="00010210">
      <w:pPr>
        <w:spacing w:before="0" w:after="120" w:line="240" w:lineRule="auto"/>
        <w:jc w:val="both"/>
        <w:rPr>
          <w:rFonts w:ascii="Times New Roman" w:hAnsi="Times New Roman"/>
          <w:color w:val="222222"/>
          <w:highlight w:val="white"/>
        </w:rPr>
      </w:pPr>
      <w:r>
        <w:rPr>
          <w:rFonts w:ascii="Times New Roman" w:hAnsi="Times New Roman"/>
          <w:color w:val="222222"/>
          <w:shd w:val="clear" w:color="auto" w:fill="FFFFFF"/>
        </w:rPr>
        <w:t xml:space="preserve">Several techniques are still in the process of development to create automated continuous soil water content measurements in the field. Researchers around the world have been investigating these techniques to discover the most efficient method. Muller (2017) demonstrated an innovative semiautomatic approach using multi-offset GPR to achieve quantitative estimates of moisture content and layer depth predictions continuously over long lengths of the existing roads at traffic-speeds for unbound granular pavements. A 3D Noise-Modulated (NM-GPR) equipment was used for moisture content measurements by collecting a series of adjacent partially overlapping ground-coupled multi-offset measurements. Muller concluded that predictions using this approach matched well with the physical measurements of layer depth and moisture content of pavement layers. </w:t>
      </w:r>
      <w:r w:rsidR="00DD2900">
        <w:rPr>
          <w:rFonts w:ascii="Times New Roman" w:hAnsi="Times New Roman"/>
          <w:color w:val="222222"/>
          <w:shd w:val="clear" w:color="auto" w:fill="FFFFFF"/>
        </w:rPr>
        <w:t xml:space="preserve"> Several studies have experimented with near-infrared moisture sensors (e.g., </w:t>
      </w:r>
      <w:r w:rsidR="00DD2900" w:rsidRPr="00DD2900">
        <w:rPr>
          <w:rFonts w:ascii="Times New Roman" w:hAnsi="Times New Roman"/>
          <w:color w:val="222222"/>
          <w:shd w:val="clear" w:color="auto" w:fill="FFFFFF"/>
        </w:rPr>
        <w:lastRenderedPageBreak/>
        <w:t>Yonemaru</w:t>
      </w:r>
      <w:r w:rsidR="00DD2900">
        <w:rPr>
          <w:rFonts w:ascii="Times New Roman" w:hAnsi="Times New Roman"/>
          <w:color w:val="222222"/>
          <w:shd w:val="clear" w:color="auto" w:fill="FFFFFF"/>
        </w:rPr>
        <w:t xml:space="preserve"> et al., 2019).  The technology has been found to work well with finer materials.  However, the estimated moisture contents correlate better with the very shallow skin of the compacted geomaterials.</w:t>
      </w:r>
    </w:p>
    <w:p w14:paraId="4B068B71" w14:textId="234F8B13" w:rsidR="00BC176C" w:rsidRDefault="0095395C">
      <w:pPr>
        <w:spacing w:before="0" w:after="120" w:line="240" w:lineRule="auto"/>
        <w:jc w:val="both"/>
      </w:pPr>
      <w:r>
        <w:rPr>
          <w:noProof/>
          <w:lang w:bidi="ar-SA"/>
        </w:rPr>
        <w:drawing>
          <wp:anchor distT="0" distB="8890" distL="114300" distR="120650" simplePos="0" relativeHeight="13" behindDoc="0" locked="0" layoutInCell="1" allowOverlap="1" wp14:anchorId="405D0296" wp14:editId="4B39062A">
            <wp:simplePos x="0" y="0"/>
            <wp:positionH relativeFrom="column">
              <wp:posOffset>542925</wp:posOffset>
            </wp:positionH>
            <wp:positionV relativeFrom="paragraph">
              <wp:posOffset>2099945</wp:posOffset>
            </wp:positionV>
            <wp:extent cx="4966970" cy="1904365"/>
            <wp:effectExtent l="0" t="0" r="5080" b="635"/>
            <wp:wrapTopAndBottom/>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
                    <pic:cNvPicPr>
                      <a:picLocks noChangeAspect="1" noChangeArrowheads="1"/>
                    </pic:cNvPicPr>
                  </pic:nvPicPr>
                  <pic:blipFill>
                    <a:blip r:embed="rId10"/>
                    <a:stretch>
                      <a:fillRect/>
                    </a:stretch>
                  </pic:blipFill>
                  <pic:spPr bwMode="auto">
                    <a:xfrm>
                      <a:off x="0" y="0"/>
                      <a:ext cx="4966970" cy="1904365"/>
                    </a:xfrm>
                    <a:prstGeom prst="rect">
                      <a:avLst/>
                    </a:prstGeom>
                  </pic:spPr>
                </pic:pic>
              </a:graphicData>
            </a:graphic>
            <wp14:sizeRelH relativeFrom="margin">
              <wp14:pctWidth>0</wp14:pctWidth>
            </wp14:sizeRelH>
            <wp14:sizeRelV relativeFrom="margin">
              <wp14:pctHeight>0</wp14:pctHeight>
            </wp14:sizeRelV>
          </wp:anchor>
        </w:drawing>
      </w:r>
      <w:r w:rsidR="00010210">
        <w:rPr>
          <w:rFonts w:ascii="Times New Roman" w:hAnsi="Times New Roman"/>
          <w:shd w:val="clear" w:color="auto" w:fill="FFFFFF"/>
        </w:rPr>
        <w:t xml:space="preserve">Figure 1a illustrates the various charge-transfer mechanisms of several methods discussed in Table 1, contributing to the measured dielectric constant or conductivity (resistivity is inversely proportional to conductivity). The portions of the curves shown in Figure 1a that are measured by the state of the art in pavement moisture studies are illustrated in Figure 1b. Conductivity and dielectric constant are directly dependent on one another. When measurements are made over small distances at high frequencies, the conductivity is high and polarization low. On the other hand, when measurements are </w:t>
      </w:r>
      <w:bookmarkStart w:id="1" w:name="__DdeLink__803_1631019883"/>
      <w:r w:rsidR="00010210">
        <w:rPr>
          <w:rFonts w:ascii="Times New Roman" w:hAnsi="Times New Roman"/>
          <w:shd w:val="clear" w:color="auto" w:fill="FFFFFF"/>
        </w:rPr>
        <w:t>made</w:t>
      </w:r>
      <w:bookmarkEnd w:id="1"/>
      <w:r w:rsidR="00010210">
        <w:rPr>
          <w:rFonts w:ascii="Times New Roman" w:hAnsi="Times New Roman"/>
          <w:shd w:val="clear" w:color="auto" w:fill="FFFFFF"/>
        </w:rPr>
        <w:t xml:space="preserve"> at lower frequencies, the longer travel distance permits the charges to encounter progressively more barriers, resulting in increased polarization and lower conductivity. The critical point of this discussion is that the current test methods that operate on measuring the dielectric constant over a limited frequency range (GPR/TDR) or conductivity (DC resistivity) do not fully characterize the influence of moisture content on the measured properties. A far more reliable proxy for moisture can be made by concurrently measuring the resistivity/conductivity and dielectric constant over a wider range, particularly at intermediate frequencies where charges travel on the scale of the pore space.</w:t>
      </w:r>
    </w:p>
    <w:p w14:paraId="55203AED" w14:textId="77777777" w:rsidR="00BC176C" w:rsidRDefault="00010210">
      <w:pPr>
        <w:pStyle w:val="ListParagraph"/>
        <w:numPr>
          <w:ilvl w:val="0"/>
          <w:numId w:val="3"/>
        </w:numPr>
        <w:spacing w:before="0" w:after="120" w:line="240" w:lineRule="auto"/>
        <w:contextualSpacing w:val="0"/>
        <w:jc w:val="center"/>
        <w:rPr>
          <w:rFonts w:ascii="Times New Roman" w:hAnsi="Times New Roman"/>
          <w:sz w:val="20"/>
          <w:szCs w:val="20"/>
        </w:rPr>
      </w:pPr>
      <w:r>
        <w:rPr>
          <w:rFonts w:ascii="Times New Roman" w:hAnsi="Times New Roman"/>
          <w:sz w:val="20"/>
          <w:szCs w:val="20"/>
        </w:rPr>
        <w:t>Physical Characteristics Measured</w:t>
      </w:r>
      <w:r>
        <w:rPr>
          <w:rFonts w:ascii="Times New Roman" w:hAnsi="Times New Roman"/>
          <w:sz w:val="20"/>
          <w:szCs w:val="20"/>
        </w:rPr>
        <w:tab/>
      </w:r>
      <w:r>
        <w:rPr>
          <w:rFonts w:ascii="Times New Roman" w:hAnsi="Times New Roman"/>
          <w:sz w:val="20"/>
          <w:szCs w:val="20"/>
        </w:rPr>
        <w:tab/>
        <w:t xml:space="preserve">       b) Range of Operation of Current Common Tests</w:t>
      </w:r>
    </w:p>
    <w:p w14:paraId="12C6C3CF" w14:textId="77777777" w:rsidR="00BC176C" w:rsidRDefault="00010210" w:rsidP="00D74DAB">
      <w:pPr>
        <w:pStyle w:val="ListParagraph"/>
        <w:spacing w:before="120" w:after="0" w:line="240" w:lineRule="auto"/>
        <w:ind w:left="360"/>
        <w:contextualSpacing w:val="0"/>
        <w:jc w:val="center"/>
        <w:rPr>
          <w:rFonts w:ascii="Times New Roman" w:hAnsi="Times New Roman"/>
          <w:b/>
          <w:bCs/>
        </w:rPr>
      </w:pPr>
      <w:r>
        <w:rPr>
          <w:rFonts w:ascii="Times New Roman" w:hAnsi="Times New Roman"/>
          <w:b/>
          <w:bCs/>
        </w:rPr>
        <w:t>Figure 1 – Variation of Dielectric Constant and Conductivity (Inverse of Resistivity) with Frequency (after Keller &amp; Frischknecht, 1966)</w:t>
      </w:r>
    </w:p>
    <w:p w14:paraId="6E528FF9" w14:textId="77777777" w:rsidR="00BC176C" w:rsidRDefault="00010210" w:rsidP="00D74DAB">
      <w:pPr>
        <w:spacing w:before="120" w:after="120" w:line="240" w:lineRule="auto"/>
        <w:jc w:val="both"/>
      </w:pPr>
      <w:r w:rsidRPr="007742ED">
        <w:rPr>
          <w:rFonts w:ascii="Times New Roman" w:hAnsi="Times New Roman"/>
          <w:b/>
          <w:bCs/>
          <w:color w:val="003865"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Objective:</w:t>
      </w:r>
      <w:r>
        <w:rPr>
          <w:rFonts w:ascii="Times New Roman" w:hAnsi="Times New Roman"/>
        </w:rPr>
        <w:t xml:space="preserve"> The objective of this study is to demonstrate a prototype/breadboard of a device that can continuously measure moisture during pavement foundation construction (similar to Asphalt Rolling Density Meter (</w:t>
      </w:r>
      <w:hyperlink r:id="rId11">
        <w:r>
          <w:rPr>
            <w:rStyle w:val="InternetLink"/>
            <w:rFonts w:ascii="Times New Roman" w:eastAsiaTheme="majorEastAsia" w:hAnsi="Times New Roman"/>
          </w:rPr>
          <w:t>https://www.geophysical.com/products/pavescan-rdm</w:t>
        </w:r>
      </w:hyperlink>
      <w:r>
        <w:rPr>
          <w:rFonts w:ascii="Times New Roman" w:hAnsi="Times New Roman"/>
        </w:rPr>
        <w:t xml:space="preserve">) used for asphalt layer.  </w:t>
      </w:r>
    </w:p>
    <w:p w14:paraId="706A3100" w14:textId="67EF8AA6" w:rsidR="00BC176C" w:rsidRDefault="00010210">
      <w:pPr>
        <w:spacing w:before="0" w:after="120" w:line="240" w:lineRule="auto"/>
        <w:jc w:val="both"/>
      </w:pPr>
      <w:r w:rsidRPr="007742ED">
        <w:rPr>
          <w:rFonts w:ascii="Times New Roman" w:hAnsi="Times New Roman"/>
          <w:b/>
          <w:bCs/>
          <w:i/>
          <w:iCs/>
        </w:rPr>
        <w:t>Proposed Technology</w:t>
      </w:r>
      <w:r w:rsidRPr="0095395C">
        <w:rPr>
          <w:rFonts w:ascii="Times New Roman" w:hAnsi="Times New Roman"/>
          <w:i/>
          <w:iCs/>
        </w:rPr>
        <w:t>.</w:t>
      </w:r>
      <w:r>
        <w:rPr>
          <w:rFonts w:ascii="Times New Roman" w:hAnsi="Times New Roman"/>
          <w:b/>
          <w:bCs/>
          <w:i/>
          <w:iCs/>
        </w:rPr>
        <w:t xml:space="preserve"> </w:t>
      </w:r>
      <w:r>
        <w:rPr>
          <w:rFonts w:ascii="Times New Roman" w:hAnsi="Times New Roman"/>
        </w:rPr>
        <w:t xml:space="preserve">The proposed technology is based on the </w:t>
      </w:r>
      <w:r>
        <w:rPr>
          <w:rFonts w:ascii="Times New Roman" w:hAnsi="Times New Roman"/>
          <w:b/>
          <w:bCs/>
          <w:i/>
          <w:iCs/>
        </w:rPr>
        <w:t>measurement of complex resistivity (CR)</w:t>
      </w:r>
      <w:r>
        <w:rPr>
          <w:rFonts w:ascii="Times New Roman" w:hAnsi="Times New Roman"/>
        </w:rPr>
        <w:t xml:space="preserve"> of geomaterials as a function of frequency, field strength</w:t>
      </w:r>
      <w:r w:rsidR="00932749">
        <w:rPr>
          <w:rFonts w:ascii="Times New Roman" w:hAnsi="Times New Roman"/>
        </w:rPr>
        <w:t>,</w:t>
      </w:r>
      <w:r>
        <w:rPr>
          <w:rFonts w:ascii="Times New Roman" w:hAnsi="Times New Roman"/>
        </w:rPr>
        <w:t xml:space="preserve"> and measurement geometry to characterize moisture content and degree of saturation. The traditional DC or low-frequency resistivity measurements, which is characterized as the ratio of voltage to current (V/I) that a material can carry, is based on the assumption that the voltage and current are independent of </w:t>
      </w:r>
      <w:r w:rsidR="00932749">
        <w:rPr>
          <w:rFonts w:ascii="Times New Roman" w:hAnsi="Times New Roman"/>
        </w:rPr>
        <w:t xml:space="preserve">the </w:t>
      </w:r>
      <w:r>
        <w:rPr>
          <w:rFonts w:ascii="Times New Roman" w:hAnsi="Times New Roman"/>
        </w:rPr>
        <w:t xml:space="preserve">frequency with the expectation that a sine-wave of current flow accompanies a sine-wave of voltage, without delay or distortion.  In the complex resistivity tests, the resistivity (V/I) amplitude is measured over a broad range of frequency along with the distortion (phase shift) between the voltage and current. The sinusoidal portion of </w:t>
      </w:r>
      <w:bookmarkStart w:id="2" w:name="_Hlk37231616"/>
      <w:r>
        <w:rPr>
          <w:rFonts w:ascii="Times New Roman" w:hAnsi="Times New Roman"/>
        </w:rPr>
        <w:t xml:space="preserve">V/I </w:t>
      </w:r>
      <w:bookmarkEnd w:id="2"/>
      <w:r>
        <w:rPr>
          <w:rFonts w:ascii="Times New Roman" w:hAnsi="Times New Roman"/>
        </w:rPr>
        <w:t>that is in-phase provides the resistivity and V/I with a 90-degree phase shift provides the dielectric constant. Alternatively, the inverse of resistivity is proportional to the conductivity of the geomaterial.</w:t>
      </w:r>
    </w:p>
    <w:p w14:paraId="34E6BC6B" w14:textId="6ED7A9EE" w:rsidR="00BC176C" w:rsidRDefault="00010210" w:rsidP="00D74DAB">
      <w:pPr>
        <w:spacing w:before="0" w:after="120" w:line="240" w:lineRule="auto"/>
        <w:jc w:val="both"/>
        <w:rPr>
          <w:rFonts w:ascii="Times New Roman" w:hAnsi="Times New Roman"/>
        </w:rPr>
      </w:pPr>
      <w:r w:rsidRPr="007742ED">
        <w:rPr>
          <w:rFonts w:ascii="Times New Roman" w:hAnsi="Times New Roman"/>
          <w:b/>
          <w:bCs/>
          <w:i/>
          <w:iCs/>
        </w:rPr>
        <w:t>Relation to Unsaturated Soil Principles</w:t>
      </w:r>
      <w:r w:rsidRPr="0095395C">
        <w:rPr>
          <w:rFonts w:ascii="Times New Roman" w:hAnsi="Times New Roman"/>
          <w:i/>
          <w:iCs/>
        </w:rPr>
        <w:t>.</w:t>
      </w:r>
      <w:r>
        <w:rPr>
          <w:rFonts w:ascii="Times New Roman" w:hAnsi="Times New Roman"/>
        </w:rPr>
        <w:t xml:space="preserve">  The concept embodied by matric suction is that the air-water interface behaves differently in close association with mineral grain surfaces and reflects mineral grain size distribution and mineral surface charge, </w:t>
      </w:r>
      <w:r w:rsidR="00932749">
        <w:rPr>
          <w:rFonts w:ascii="Times New Roman" w:hAnsi="Times New Roman"/>
        </w:rPr>
        <w:t>which</w:t>
      </w:r>
      <w:r>
        <w:rPr>
          <w:rFonts w:ascii="Times New Roman" w:hAnsi="Times New Roman"/>
        </w:rPr>
        <w:t xml:space="preserve"> control the pore pressure as pores fill with water. CR measures ionic conduction and polarization along adsorbed water at grain boundaries, ionic conduction through free </w:t>
      </w:r>
      <w:r w:rsidR="00D74DAB">
        <w:rPr>
          <w:rFonts w:ascii="Times New Roman" w:hAnsi="Times New Roman"/>
        </w:rPr>
        <w:t>pore fluid, and polarization at the air-water interface.  Void content, moisture content</w:t>
      </w:r>
      <w:r w:rsidR="00932749">
        <w:rPr>
          <w:rFonts w:ascii="Times New Roman" w:hAnsi="Times New Roman"/>
        </w:rPr>
        <w:t>,</w:t>
      </w:r>
      <w:r w:rsidR="00D74DAB">
        <w:rPr>
          <w:rFonts w:ascii="Times New Roman" w:hAnsi="Times New Roman"/>
        </w:rPr>
        <w:t xml:space="preserve"> and pore </w:t>
      </w:r>
      <w:r w:rsidR="00D74DAB">
        <w:rPr>
          <w:rFonts w:ascii="Times New Roman" w:hAnsi="Times New Roman"/>
        </w:rPr>
        <w:lastRenderedPageBreak/>
        <w:t>size distribution control the in-phase and out-of-phase currents. Both high</w:t>
      </w:r>
      <w:r w:rsidR="00932749">
        <w:rPr>
          <w:rFonts w:ascii="Times New Roman" w:hAnsi="Times New Roman"/>
        </w:rPr>
        <w:t>-</w:t>
      </w:r>
      <w:r w:rsidR="00D74DAB">
        <w:rPr>
          <w:rFonts w:ascii="Times New Roman" w:hAnsi="Times New Roman"/>
        </w:rPr>
        <w:t xml:space="preserve">frequency permittivity (via GPR/TDR EM tools) and low-frequency conductivity/resistivity have shown strong correlations to moisture content, but each responds to different moisture-related characteristics that require calibration for other uncontrolled variables. Dielectric permittivity in the 100 MHz to GHz range, which responds primarily to the permittivity from water-molecule rotation being an order of magnitude larger than that of aggregate, is not sensitive to </w:t>
      </w:r>
      <w:r w:rsidR="00932749">
        <w:rPr>
          <w:rFonts w:ascii="Times New Roman" w:hAnsi="Times New Roman"/>
        </w:rPr>
        <w:t xml:space="preserve">the </w:t>
      </w:r>
      <w:r w:rsidR="00D74DAB">
        <w:rPr>
          <w:rFonts w:ascii="Times New Roman" w:hAnsi="Times New Roman"/>
        </w:rPr>
        <w:t xml:space="preserve">distribution of water in the pore, or air-water interactions. Water permittivity is typically suppressed by ionic influence from dissolved solids or mineral surface charges, leading to bias in materials with high fines content. Low-frequency resistivity measurements are dominated by the degree of saturation and water connectivity through the pore space, and secondarily by water volume.  Low-frequency resistivity could probably be used with little calibration if enough measurements are made to distinguish residual moisture on fines, saturation variations, and void changes in compactions. This requires measuring a) material resistivity before watering, b) resistivity of the water added, and then c) pre- and d) post-compaction resistivity. CR at intermediate frequencies should distinguish saturated and unsaturated cases with an enhanced polarization signal with partial saturation from charges blocked from </w:t>
      </w:r>
      <w:r w:rsidR="00932749">
        <w:rPr>
          <w:rFonts w:ascii="Times New Roman" w:hAnsi="Times New Roman"/>
        </w:rPr>
        <w:t xml:space="preserve">the </w:t>
      </w:r>
      <w:r w:rsidR="00D74DAB">
        <w:rPr>
          <w:rFonts w:ascii="Times New Roman" w:hAnsi="Times New Roman"/>
        </w:rPr>
        <w:t>movement at air-water interfaces and minimize the need to measure soil resistivity before watering, and the water resistivity.</w:t>
      </w:r>
    </w:p>
    <w:p w14:paraId="12D7329C" w14:textId="77777777" w:rsidR="00BC176C" w:rsidRDefault="00010210">
      <w:pPr>
        <w:pStyle w:val="Caption"/>
        <w:keepNext/>
        <w:spacing w:before="0" w:after="0"/>
        <w:jc w:val="center"/>
      </w:pPr>
      <w:r>
        <w:rPr>
          <w:rFonts w:ascii="Times New Roman" w:hAnsi="Times New Roman"/>
          <w:b/>
          <w:bCs/>
          <w:iCs w:val="0"/>
          <w:color w:val="auto"/>
          <w:sz w:val="22"/>
          <w:szCs w:val="22"/>
        </w:rPr>
        <w:t xml:space="preserve">Table </w:t>
      </w:r>
      <w:r>
        <w:rPr>
          <w:rFonts w:ascii="Times New Roman" w:hAnsi="Times New Roman"/>
          <w:b/>
          <w:bCs/>
          <w:iCs w:val="0"/>
          <w:sz w:val="22"/>
          <w:szCs w:val="22"/>
        </w:rPr>
        <w:fldChar w:fldCharType="begin"/>
      </w:r>
      <w:r>
        <w:rPr>
          <w:rFonts w:ascii="Times New Roman" w:hAnsi="Times New Roman"/>
          <w:b/>
          <w:bCs/>
          <w:iCs w:val="0"/>
          <w:sz w:val="22"/>
          <w:szCs w:val="22"/>
        </w:rPr>
        <w:instrText>SEQ Table \* ARABIC</w:instrText>
      </w:r>
      <w:r>
        <w:rPr>
          <w:rFonts w:ascii="Times New Roman" w:hAnsi="Times New Roman"/>
          <w:b/>
          <w:bCs/>
          <w:iCs w:val="0"/>
          <w:sz w:val="22"/>
          <w:szCs w:val="22"/>
        </w:rPr>
        <w:fldChar w:fldCharType="separate"/>
      </w:r>
      <w:r>
        <w:rPr>
          <w:rFonts w:ascii="Times New Roman" w:hAnsi="Times New Roman"/>
          <w:b/>
          <w:bCs/>
          <w:iCs w:val="0"/>
          <w:sz w:val="22"/>
          <w:szCs w:val="22"/>
        </w:rPr>
        <w:t>1</w:t>
      </w:r>
      <w:r>
        <w:rPr>
          <w:rFonts w:ascii="Times New Roman" w:hAnsi="Times New Roman"/>
          <w:b/>
          <w:bCs/>
          <w:iCs w:val="0"/>
          <w:sz w:val="22"/>
          <w:szCs w:val="22"/>
        </w:rPr>
        <w:fldChar w:fldCharType="end"/>
      </w:r>
      <w:r>
        <w:rPr>
          <w:rFonts w:ascii="Times New Roman" w:hAnsi="Times New Roman"/>
          <w:b/>
          <w:bCs/>
          <w:iCs w:val="0"/>
          <w:color w:val="auto"/>
          <w:sz w:val="22"/>
          <w:szCs w:val="22"/>
        </w:rPr>
        <w:t>. Indirect Tests Methods</w:t>
      </w:r>
    </w:p>
    <w:tbl>
      <w:tblPr>
        <w:tblStyle w:val="TableGrid"/>
        <w:tblW w:w="5000" w:type="pct"/>
        <w:tblInd w:w="-5" w:type="dxa"/>
        <w:tblLook w:val="04A0" w:firstRow="1" w:lastRow="0" w:firstColumn="1" w:lastColumn="0" w:noHBand="0" w:noVBand="1"/>
      </w:tblPr>
      <w:tblGrid>
        <w:gridCol w:w="1362"/>
        <w:gridCol w:w="1968"/>
        <w:gridCol w:w="6020"/>
      </w:tblGrid>
      <w:tr w:rsidR="00BC176C" w14:paraId="30386A79" w14:textId="77777777" w:rsidTr="00DD2900">
        <w:tc>
          <w:tcPr>
            <w:tcW w:w="1362" w:type="dxa"/>
            <w:shd w:val="clear" w:color="auto" w:fill="auto"/>
            <w:vAlign w:val="center"/>
          </w:tcPr>
          <w:p w14:paraId="64BD4710" w14:textId="77777777" w:rsidR="00BC176C" w:rsidRDefault="00010210">
            <w:pPr>
              <w:spacing w:before="0" w:after="0" w:line="240" w:lineRule="auto"/>
              <w:jc w:val="center"/>
              <w:rPr>
                <w:rFonts w:ascii="Times New Roman" w:hAnsi="Times New Roman"/>
                <w:b/>
                <w:bCs/>
                <w:sz w:val="20"/>
                <w:szCs w:val="20"/>
              </w:rPr>
            </w:pPr>
            <w:r>
              <w:rPr>
                <w:rFonts w:ascii="Times New Roman" w:hAnsi="Times New Roman"/>
                <w:b/>
                <w:bCs/>
                <w:sz w:val="20"/>
                <w:szCs w:val="20"/>
              </w:rPr>
              <w:t>Method</w:t>
            </w:r>
          </w:p>
        </w:tc>
        <w:tc>
          <w:tcPr>
            <w:tcW w:w="1968" w:type="dxa"/>
            <w:shd w:val="clear" w:color="auto" w:fill="auto"/>
            <w:vAlign w:val="center"/>
          </w:tcPr>
          <w:p w14:paraId="4C5C1A16" w14:textId="77777777" w:rsidR="00BC176C" w:rsidRDefault="00010210">
            <w:pPr>
              <w:spacing w:before="0" w:after="0" w:line="240" w:lineRule="auto"/>
              <w:jc w:val="center"/>
              <w:rPr>
                <w:rFonts w:ascii="Times New Roman" w:hAnsi="Times New Roman"/>
                <w:b/>
                <w:bCs/>
                <w:sz w:val="20"/>
                <w:szCs w:val="20"/>
              </w:rPr>
            </w:pPr>
            <w:r>
              <w:rPr>
                <w:rFonts w:ascii="Times New Roman" w:hAnsi="Times New Roman"/>
                <w:b/>
                <w:bCs/>
                <w:sz w:val="20"/>
                <w:szCs w:val="20"/>
              </w:rPr>
              <w:t>Measurement Principle</w:t>
            </w:r>
          </w:p>
        </w:tc>
        <w:tc>
          <w:tcPr>
            <w:tcW w:w="6020" w:type="dxa"/>
            <w:shd w:val="clear" w:color="auto" w:fill="auto"/>
            <w:vAlign w:val="center"/>
          </w:tcPr>
          <w:p w14:paraId="04619FB4" w14:textId="77777777" w:rsidR="00BC176C" w:rsidRDefault="00010210">
            <w:pPr>
              <w:spacing w:before="0" w:after="0" w:line="240" w:lineRule="auto"/>
              <w:jc w:val="center"/>
              <w:rPr>
                <w:rFonts w:ascii="Times New Roman" w:hAnsi="Times New Roman"/>
                <w:b/>
                <w:bCs/>
                <w:sz w:val="20"/>
                <w:szCs w:val="20"/>
              </w:rPr>
            </w:pPr>
            <w:r>
              <w:rPr>
                <w:rFonts w:ascii="Times New Roman" w:hAnsi="Times New Roman"/>
                <w:b/>
                <w:bCs/>
                <w:sz w:val="20"/>
                <w:szCs w:val="20"/>
              </w:rPr>
              <w:t>Explanation</w:t>
            </w:r>
          </w:p>
        </w:tc>
      </w:tr>
      <w:tr w:rsidR="00BC176C" w14:paraId="10F0423F" w14:textId="77777777" w:rsidTr="00DD2900">
        <w:trPr>
          <w:trHeight w:val="989"/>
        </w:trPr>
        <w:tc>
          <w:tcPr>
            <w:tcW w:w="1362" w:type="dxa"/>
            <w:shd w:val="clear" w:color="auto" w:fill="auto"/>
            <w:vAlign w:val="center"/>
          </w:tcPr>
          <w:p w14:paraId="7F5972A1" w14:textId="77777777" w:rsidR="00BC176C" w:rsidRDefault="00010210">
            <w:pPr>
              <w:spacing w:before="0" w:after="0" w:line="240" w:lineRule="auto"/>
              <w:rPr>
                <w:rFonts w:ascii="Times New Roman" w:hAnsi="Times New Roman"/>
                <w:sz w:val="20"/>
                <w:szCs w:val="20"/>
              </w:rPr>
            </w:pPr>
            <w:r>
              <w:rPr>
                <w:rFonts w:ascii="Times New Roman" w:hAnsi="Times New Roman"/>
                <w:sz w:val="20"/>
                <w:szCs w:val="20"/>
              </w:rPr>
              <w:t>Capacitance Meters</w:t>
            </w:r>
          </w:p>
        </w:tc>
        <w:tc>
          <w:tcPr>
            <w:tcW w:w="1968" w:type="dxa"/>
            <w:shd w:val="clear" w:color="auto" w:fill="auto"/>
            <w:vAlign w:val="center"/>
          </w:tcPr>
          <w:p w14:paraId="258F800D" w14:textId="77777777" w:rsidR="00BC176C" w:rsidRDefault="00010210">
            <w:pPr>
              <w:spacing w:before="0" w:after="0" w:line="240" w:lineRule="auto"/>
            </w:pPr>
            <w:r>
              <w:rPr>
                <w:rFonts w:ascii="Times New Roman" w:hAnsi="Times New Roman"/>
                <w:sz w:val="20"/>
                <w:szCs w:val="20"/>
              </w:rPr>
              <w:t>Oscillating circuit to measure changes in resonant frequency, or measure electrode impedance</w:t>
            </w:r>
          </w:p>
        </w:tc>
        <w:tc>
          <w:tcPr>
            <w:tcW w:w="6020" w:type="dxa"/>
            <w:shd w:val="clear" w:color="auto" w:fill="auto"/>
            <w:vAlign w:val="center"/>
          </w:tcPr>
          <w:p w14:paraId="0D304C6A" w14:textId="77777777" w:rsidR="00BC176C" w:rsidRDefault="00010210">
            <w:pPr>
              <w:spacing w:before="0" w:after="0" w:line="240" w:lineRule="auto"/>
              <w:jc w:val="both"/>
            </w:pPr>
            <w:r>
              <w:rPr>
                <w:rFonts w:ascii="Times New Roman" w:hAnsi="Times New Roman"/>
                <w:sz w:val="20"/>
                <w:szCs w:val="20"/>
              </w:rPr>
              <w:t>A capacitor consists of two electrodes, insulated each other by a dielectric (in this case, the surrounding soil constitutes the dielectric in a capacitor). The probe detects and measures the change in frequency which has a direct relationship with the water content in the soil.</w:t>
            </w:r>
          </w:p>
        </w:tc>
      </w:tr>
      <w:tr w:rsidR="00BC176C" w14:paraId="1465D040" w14:textId="77777777" w:rsidTr="00DD2900">
        <w:trPr>
          <w:trHeight w:val="809"/>
        </w:trPr>
        <w:tc>
          <w:tcPr>
            <w:tcW w:w="1362" w:type="dxa"/>
            <w:shd w:val="clear" w:color="auto" w:fill="auto"/>
            <w:vAlign w:val="center"/>
          </w:tcPr>
          <w:p w14:paraId="6C2A2627" w14:textId="77777777" w:rsidR="00BC176C" w:rsidRDefault="00010210">
            <w:pPr>
              <w:spacing w:before="0" w:after="0" w:line="240" w:lineRule="auto"/>
              <w:rPr>
                <w:rFonts w:ascii="Times New Roman" w:hAnsi="Times New Roman"/>
                <w:sz w:val="20"/>
                <w:szCs w:val="20"/>
              </w:rPr>
            </w:pPr>
            <w:r>
              <w:rPr>
                <w:rFonts w:ascii="Times New Roman" w:hAnsi="Times New Roman"/>
                <w:sz w:val="20"/>
                <w:szCs w:val="20"/>
              </w:rPr>
              <w:t>Ground Penetrating Radar (GPR)</w:t>
            </w:r>
          </w:p>
        </w:tc>
        <w:tc>
          <w:tcPr>
            <w:tcW w:w="1968" w:type="dxa"/>
            <w:shd w:val="clear" w:color="auto" w:fill="auto"/>
            <w:vAlign w:val="center"/>
          </w:tcPr>
          <w:p w14:paraId="28069A02" w14:textId="77777777" w:rsidR="00BC176C" w:rsidRDefault="00010210">
            <w:pPr>
              <w:spacing w:before="0" w:after="0" w:line="240" w:lineRule="auto"/>
              <w:rPr>
                <w:rFonts w:ascii="Times New Roman" w:hAnsi="Times New Roman"/>
                <w:sz w:val="20"/>
                <w:szCs w:val="20"/>
              </w:rPr>
            </w:pPr>
            <w:r>
              <w:rPr>
                <w:rFonts w:ascii="Times New Roman" w:hAnsi="Times New Roman"/>
                <w:sz w:val="20"/>
                <w:szCs w:val="20"/>
              </w:rPr>
              <w:t>Short pulses of electromagnetic waves through soil</w:t>
            </w:r>
          </w:p>
        </w:tc>
        <w:tc>
          <w:tcPr>
            <w:tcW w:w="6020" w:type="dxa"/>
            <w:shd w:val="clear" w:color="auto" w:fill="auto"/>
            <w:vAlign w:val="center"/>
          </w:tcPr>
          <w:p w14:paraId="204F11AD" w14:textId="77777777" w:rsidR="00BC176C" w:rsidRDefault="00010210">
            <w:pPr>
              <w:spacing w:before="0" w:after="0" w:line="240" w:lineRule="auto"/>
              <w:jc w:val="both"/>
              <w:rPr>
                <w:rFonts w:ascii="Times New Roman" w:hAnsi="Times New Roman"/>
                <w:sz w:val="20"/>
                <w:szCs w:val="20"/>
              </w:rPr>
            </w:pPr>
            <w:r>
              <w:rPr>
                <w:rFonts w:ascii="Times New Roman" w:hAnsi="Times New Roman"/>
                <w:sz w:val="20"/>
                <w:szCs w:val="20"/>
              </w:rPr>
              <w:t>Differences in transmission time and amplitude of the reflected pulse can be related to changes in permittivity (dielectric constant) that can be used to estimate the water content of the soil.</w:t>
            </w:r>
          </w:p>
        </w:tc>
      </w:tr>
      <w:tr w:rsidR="00BC176C" w14:paraId="5B6E23D9" w14:textId="77777777" w:rsidTr="00DD2900">
        <w:trPr>
          <w:trHeight w:val="989"/>
        </w:trPr>
        <w:tc>
          <w:tcPr>
            <w:tcW w:w="1362" w:type="dxa"/>
            <w:shd w:val="clear" w:color="auto" w:fill="auto"/>
            <w:vAlign w:val="center"/>
          </w:tcPr>
          <w:p w14:paraId="20F2D5C8" w14:textId="77777777" w:rsidR="00BC176C" w:rsidRDefault="00010210">
            <w:pPr>
              <w:spacing w:before="0" w:after="0" w:line="240" w:lineRule="auto"/>
              <w:rPr>
                <w:rFonts w:ascii="Times New Roman" w:hAnsi="Times New Roman"/>
                <w:sz w:val="20"/>
                <w:szCs w:val="20"/>
              </w:rPr>
            </w:pPr>
            <w:r>
              <w:rPr>
                <w:rFonts w:ascii="Times New Roman" w:hAnsi="Times New Roman"/>
                <w:sz w:val="20"/>
                <w:szCs w:val="20"/>
              </w:rPr>
              <w:t xml:space="preserve">Conductivity Sensors </w:t>
            </w:r>
          </w:p>
        </w:tc>
        <w:tc>
          <w:tcPr>
            <w:tcW w:w="1968" w:type="dxa"/>
            <w:shd w:val="clear" w:color="auto" w:fill="auto"/>
            <w:vAlign w:val="center"/>
          </w:tcPr>
          <w:p w14:paraId="1F002BC8" w14:textId="77777777" w:rsidR="00BC176C" w:rsidRDefault="00010210">
            <w:pPr>
              <w:spacing w:before="0" w:after="0" w:line="240" w:lineRule="auto"/>
              <w:rPr>
                <w:rFonts w:ascii="Times New Roman" w:hAnsi="Times New Roman"/>
                <w:sz w:val="20"/>
                <w:szCs w:val="20"/>
              </w:rPr>
            </w:pPr>
            <w:r>
              <w:rPr>
                <w:rFonts w:ascii="Times New Roman" w:hAnsi="Times New Roman"/>
                <w:sz w:val="20"/>
                <w:szCs w:val="20"/>
              </w:rPr>
              <w:t>Electrical conductivity of a porous medium in contact with soil</w:t>
            </w:r>
          </w:p>
        </w:tc>
        <w:tc>
          <w:tcPr>
            <w:tcW w:w="6020" w:type="dxa"/>
            <w:shd w:val="clear" w:color="auto" w:fill="auto"/>
            <w:vAlign w:val="center"/>
          </w:tcPr>
          <w:p w14:paraId="649C4E21" w14:textId="77777777" w:rsidR="00BC176C" w:rsidRDefault="00010210">
            <w:pPr>
              <w:spacing w:before="0" w:after="0" w:line="240" w:lineRule="auto"/>
              <w:jc w:val="both"/>
            </w:pPr>
            <w:r>
              <w:rPr>
                <w:rFonts w:ascii="Times New Roman" w:hAnsi="Times New Roman"/>
                <w:sz w:val="20"/>
                <w:szCs w:val="20"/>
              </w:rPr>
              <w:t xml:space="preserve">An alternating current is driven into two electrodes in a porous material interacting with the soil. The amount of current is a measure of the conductivity and amount of water between the electrodes in the porous material. </w:t>
            </w:r>
          </w:p>
        </w:tc>
      </w:tr>
      <w:tr w:rsidR="00BC176C" w14:paraId="4C50EFD0" w14:textId="77777777" w:rsidTr="00DD2900">
        <w:trPr>
          <w:trHeight w:val="890"/>
        </w:trPr>
        <w:tc>
          <w:tcPr>
            <w:tcW w:w="1362" w:type="dxa"/>
            <w:shd w:val="clear" w:color="auto" w:fill="auto"/>
            <w:vAlign w:val="center"/>
          </w:tcPr>
          <w:p w14:paraId="2B623032" w14:textId="77777777" w:rsidR="00BC176C" w:rsidRDefault="00010210">
            <w:pPr>
              <w:spacing w:before="0" w:after="0" w:line="240" w:lineRule="auto"/>
              <w:rPr>
                <w:rFonts w:ascii="Times New Roman" w:hAnsi="Times New Roman"/>
                <w:sz w:val="20"/>
                <w:szCs w:val="20"/>
              </w:rPr>
            </w:pPr>
            <w:r>
              <w:rPr>
                <w:rFonts w:ascii="Times New Roman" w:hAnsi="Times New Roman"/>
                <w:sz w:val="20"/>
                <w:szCs w:val="20"/>
              </w:rPr>
              <w:t>Resistance measurements</w:t>
            </w:r>
          </w:p>
        </w:tc>
        <w:tc>
          <w:tcPr>
            <w:tcW w:w="1968" w:type="dxa"/>
            <w:shd w:val="clear" w:color="auto" w:fill="auto"/>
            <w:vAlign w:val="center"/>
          </w:tcPr>
          <w:p w14:paraId="70DFCB5F" w14:textId="77777777" w:rsidR="00BC176C" w:rsidRDefault="00010210">
            <w:pPr>
              <w:spacing w:before="0" w:after="0" w:line="240" w:lineRule="auto"/>
              <w:rPr>
                <w:rFonts w:ascii="Times New Roman" w:hAnsi="Times New Roman"/>
                <w:sz w:val="20"/>
                <w:szCs w:val="20"/>
              </w:rPr>
            </w:pPr>
            <w:r>
              <w:rPr>
                <w:rFonts w:ascii="Times New Roman" w:hAnsi="Times New Roman"/>
                <w:sz w:val="20"/>
                <w:szCs w:val="20"/>
              </w:rPr>
              <w:t>Resistance between two electrodes</w:t>
            </w:r>
          </w:p>
        </w:tc>
        <w:tc>
          <w:tcPr>
            <w:tcW w:w="6020" w:type="dxa"/>
            <w:shd w:val="clear" w:color="auto" w:fill="auto"/>
            <w:vAlign w:val="center"/>
          </w:tcPr>
          <w:p w14:paraId="5489FA37" w14:textId="06F88ED2" w:rsidR="00BC176C" w:rsidRDefault="00010210">
            <w:pPr>
              <w:spacing w:before="0" w:after="0" w:line="240" w:lineRule="auto"/>
              <w:jc w:val="both"/>
              <w:rPr>
                <w:rFonts w:ascii="Times New Roman" w:hAnsi="Times New Roman"/>
                <w:sz w:val="20"/>
                <w:szCs w:val="20"/>
              </w:rPr>
            </w:pPr>
            <w:r>
              <w:rPr>
                <w:rFonts w:ascii="Times New Roman" w:hAnsi="Times New Roman"/>
                <w:sz w:val="20"/>
                <w:szCs w:val="20"/>
              </w:rPr>
              <w:t xml:space="preserve">Moisture levels in </w:t>
            </w:r>
            <w:r w:rsidR="00932749">
              <w:rPr>
                <w:rFonts w:ascii="Times New Roman" w:hAnsi="Times New Roman"/>
                <w:sz w:val="20"/>
                <w:szCs w:val="20"/>
              </w:rPr>
              <w:t xml:space="preserve">the </w:t>
            </w:r>
            <w:r>
              <w:rPr>
                <w:rFonts w:ascii="Times New Roman" w:hAnsi="Times New Roman"/>
                <w:sz w:val="20"/>
                <w:szCs w:val="20"/>
              </w:rPr>
              <w:t>soil are measured in terms of their electrical resistance or dielectric property which vary at different moisture contents. As the moisture content increases, the electrical resistance of the soil decreases</w:t>
            </w:r>
            <w:r w:rsidR="00932749">
              <w:rPr>
                <w:rFonts w:ascii="Times New Roman" w:hAnsi="Times New Roman"/>
                <w:sz w:val="20"/>
                <w:szCs w:val="20"/>
              </w:rPr>
              <w:t>,</w:t>
            </w:r>
            <w:r>
              <w:rPr>
                <w:rFonts w:ascii="Times New Roman" w:hAnsi="Times New Roman"/>
                <w:sz w:val="20"/>
                <w:szCs w:val="20"/>
              </w:rPr>
              <w:t xml:space="preserve"> and conductance increases.</w:t>
            </w:r>
          </w:p>
        </w:tc>
      </w:tr>
      <w:tr w:rsidR="00BC176C" w14:paraId="61F9FEAA" w14:textId="77777777" w:rsidTr="00DD2900">
        <w:trPr>
          <w:trHeight w:val="890"/>
        </w:trPr>
        <w:tc>
          <w:tcPr>
            <w:tcW w:w="1362" w:type="dxa"/>
            <w:tcBorders>
              <w:top w:val="nil"/>
            </w:tcBorders>
            <w:shd w:val="clear" w:color="auto" w:fill="auto"/>
            <w:vAlign w:val="center"/>
          </w:tcPr>
          <w:p w14:paraId="580CE49D" w14:textId="77777777" w:rsidR="00BC176C" w:rsidRDefault="00010210">
            <w:pPr>
              <w:spacing w:before="0" w:after="0" w:line="240" w:lineRule="auto"/>
              <w:rPr>
                <w:rFonts w:ascii="Times New Roman" w:hAnsi="Times New Roman"/>
              </w:rPr>
            </w:pPr>
            <w:r>
              <w:rPr>
                <w:rFonts w:ascii="Times New Roman" w:hAnsi="Times New Roman"/>
              </w:rPr>
              <w:t>EM Eddy Current</w:t>
            </w:r>
          </w:p>
        </w:tc>
        <w:tc>
          <w:tcPr>
            <w:tcW w:w="1968" w:type="dxa"/>
            <w:tcBorders>
              <w:top w:val="nil"/>
            </w:tcBorders>
            <w:shd w:val="clear" w:color="auto" w:fill="auto"/>
            <w:vAlign w:val="center"/>
          </w:tcPr>
          <w:p w14:paraId="01AB4404" w14:textId="77777777" w:rsidR="00BC176C" w:rsidRDefault="00010210">
            <w:pPr>
              <w:spacing w:before="0" w:after="0" w:line="240" w:lineRule="auto"/>
              <w:rPr>
                <w:rFonts w:ascii="Times New Roman" w:hAnsi="Times New Roman"/>
              </w:rPr>
            </w:pPr>
            <w:r>
              <w:rPr>
                <w:rFonts w:ascii="Times New Roman" w:hAnsi="Times New Roman"/>
              </w:rPr>
              <w:t>Induced transient magnetic field from currents</w:t>
            </w:r>
          </w:p>
        </w:tc>
        <w:tc>
          <w:tcPr>
            <w:tcW w:w="6020" w:type="dxa"/>
            <w:tcBorders>
              <w:top w:val="nil"/>
            </w:tcBorders>
            <w:shd w:val="clear" w:color="auto" w:fill="auto"/>
            <w:vAlign w:val="center"/>
          </w:tcPr>
          <w:p w14:paraId="225CECED" w14:textId="0A6AB033" w:rsidR="00BC176C" w:rsidRDefault="00010210">
            <w:pPr>
              <w:spacing w:before="0" w:after="0" w:line="240" w:lineRule="auto"/>
              <w:jc w:val="both"/>
              <w:rPr>
                <w:rFonts w:ascii="Times New Roman" w:hAnsi="Times New Roman"/>
              </w:rPr>
            </w:pPr>
            <w:r>
              <w:rPr>
                <w:rFonts w:ascii="Times New Roman" w:hAnsi="Times New Roman"/>
              </w:rPr>
              <w:t xml:space="preserve">An alternating or stepped current in a transmitter coil induces a magnetic field in the soil. Eddy currents flow in response to the induced </w:t>
            </w:r>
            <w:r w:rsidR="008D3BBF">
              <w:rPr>
                <w:rFonts w:ascii="Times New Roman" w:hAnsi="Times New Roman"/>
              </w:rPr>
              <w:t>field and</w:t>
            </w:r>
            <w:r>
              <w:rPr>
                <w:rFonts w:ascii="Times New Roman" w:hAnsi="Times New Roman"/>
              </w:rPr>
              <w:t xml:space="preserve"> are picked up by a receiver coil. Measures the product of electrical conductivity and magnetic permeability.</w:t>
            </w:r>
          </w:p>
        </w:tc>
      </w:tr>
      <w:tr w:rsidR="00BC176C" w14:paraId="7BC4FF91" w14:textId="77777777" w:rsidTr="00DD2900">
        <w:trPr>
          <w:trHeight w:val="890"/>
        </w:trPr>
        <w:tc>
          <w:tcPr>
            <w:tcW w:w="1362" w:type="dxa"/>
            <w:tcBorders>
              <w:top w:val="nil"/>
            </w:tcBorders>
            <w:shd w:val="clear" w:color="auto" w:fill="auto"/>
            <w:vAlign w:val="center"/>
          </w:tcPr>
          <w:p w14:paraId="4EABA3F0" w14:textId="77777777" w:rsidR="00BC176C" w:rsidRDefault="00010210">
            <w:pPr>
              <w:spacing w:before="0" w:after="0" w:line="240" w:lineRule="auto"/>
              <w:rPr>
                <w:rFonts w:ascii="Times New Roman" w:hAnsi="Times New Roman"/>
              </w:rPr>
            </w:pPr>
            <w:r>
              <w:rPr>
                <w:rFonts w:ascii="Times New Roman" w:hAnsi="Times New Roman"/>
              </w:rPr>
              <w:t>4-Electrode Resistivity</w:t>
            </w:r>
          </w:p>
        </w:tc>
        <w:tc>
          <w:tcPr>
            <w:tcW w:w="1968" w:type="dxa"/>
            <w:tcBorders>
              <w:top w:val="nil"/>
            </w:tcBorders>
            <w:shd w:val="clear" w:color="auto" w:fill="auto"/>
            <w:vAlign w:val="center"/>
          </w:tcPr>
          <w:p w14:paraId="29BD0269" w14:textId="77777777" w:rsidR="00BC176C" w:rsidRDefault="00010210">
            <w:pPr>
              <w:spacing w:before="0" w:after="0" w:line="240" w:lineRule="auto"/>
              <w:rPr>
                <w:rFonts w:ascii="Times New Roman" w:hAnsi="Times New Roman"/>
              </w:rPr>
            </w:pPr>
            <w:r>
              <w:rPr>
                <w:rFonts w:ascii="Times New Roman" w:hAnsi="Times New Roman"/>
              </w:rPr>
              <w:t>Current induced at two electrodes. Voltage difference measured at two other electrodes</w:t>
            </w:r>
          </w:p>
        </w:tc>
        <w:tc>
          <w:tcPr>
            <w:tcW w:w="6020" w:type="dxa"/>
            <w:tcBorders>
              <w:top w:val="nil"/>
            </w:tcBorders>
            <w:shd w:val="clear" w:color="auto" w:fill="auto"/>
            <w:vAlign w:val="center"/>
          </w:tcPr>
          <w:p w14:paraId="53122FEA" w14:textId="088BD1E1" w:rsidR="00BC176C" w:rsidRDefault="00010210">
            <w:pPr>
              <w:spacing w:before="0" w:after="0" w:line="240" w:lineRule="auto"/>
              <w:jc w:val="both"/>
              <w:rPr>
                <w:rFonts w:ascii="Times New Roman" w:hAnsi="Times New Roman"/>
              </w:rPr>
            </w:pPr>
            <w:r>
              <w:rPr>
                <w:rFonts w:ascii="Times New Roman" w:hAnsi="Times New Roman"/>
              </w:rPr>
              <w:t xml:space="preserve">An alternating current is induced between two electrodes, either by metal-soil contact or capacitive-coupling at high voltages. A potential difference between two electrodes with no current flow is related to current and spacing. Electrode geometry controls </w:t>
            </w:r>
            <w:r w:rsidR="00932749">
              <w:rPr>
                <w:rFonts w:ascii="Times New Roman" w:hAnsi="Times New Roman"/>
              </w:rPr>
              <w:t xml:space="preserve">the </w:t>
            </w:r>
            <w:r>
              <w:rPr>
                <w:rFonts w:ascii="Times New Roman" w:hAnsi="Times New Roman"/>
              </w:rPr>
              <w:t>depth of investigation.</w:t>
            </w:r>
          </w:p>
        </w:tc>
      </w:tr>
    </w:tbl>
    <w:p w14:paraId="7D2394CF" w14:textId="77777777" w:rsidR="00BC176C" w:rsidRDefault="00010210" w:rsidP="00D74DAB">
      <w:pPr>
        <w:spacing w:before="120" w:after="120" w:line="240" w:lineRule="auto"/>
        <w:jc w:val="both"/>
      </w:pPr>
      <w:r>
        <w:rPr>
          <w:rFonts w:ascii="Times New Roman" w:hAnsi="Times New Roman"/>
        </w:rPr>
        <w:t xml:space="preserve">Knight (1991) investigated complex impedance at lower GPR frequencies (higher frequency than our proposed CR) and demonstrated laboratory resistivity hysteresis under drainage and imbibition constraints, with a proposed explanation that is nearly identical to that underlying matric suction measurements. She observed the strongest resistivity/saturation relation under draining conditions, indicating strong sensitivity to field conditions monitoring moisture during compaction. As such, the primary measurement of CR at </w:t>
      </w:r>
      <w:r>
        <w:rPr>
          <w:rFonts w:ascii="Times New Roman" w:hAnsi="Times New Roman"/>
        </w:rPr>
        <w:lastRenderedPageBreak/>
        <w:t>appropriate frequencies is measuring many of the same attributes controlling the soil water characteristic curve (SWCC) mineral grain/adsorbed water/air system.</w:t>
      </w:r>
    </w:p>
    <w:p w14:paraId="5910CD5F" w14:textId="77777777" w:rsidR="00BC176C" w:rsidRDefault="00010210">
      <w:pPr>
        <w:spacing w:before="0" w:after="120" w:line="240" w:lineRule="auto"/>
        <w:jc w:val="both"/>
        <w:rPr>
          <w:rFonts w:ascii="Times New Roman" w:hAnsi="Times New Roman"/>
        </w:rPr>
      </w:pPr>
      <w:r w:rsidRPr="00055F51">
        <w:rPr>
          <w:rFonts w:ascii="Times New Roman" w:hAnsi="Times New Roman"/>
          <w:b/>
          <w:bCs/>
          <w:i/>
          <w:iCs/>
        </w:rPr>
        <w:t>Advantages.</w:t>
      </w:r>
      <w:r>
        <w:rPr>
          <w:rFonts w:ascii="Times New Roman" w:hAnsi="Times New Roman"/>
        </w:rPr>
        <w:t xml:space="preserve"> Using CR measurements for monitoring moisture content during compaction has the following four distinct advantages. </w:t>
      </w:r>
    </w:p>
    <w:p w14:paraId="74A39F3C" w14:textId="76FF5211" w:rsidR="00BC176C" w:rsidRDefault="00010210">
      <w:pPr>
        <w:pStyle w:val="ListParagraph"/>
        <w:numPr>
          <w:ilvl w:val="0"/>
          <w:numId w:val="2"/>
        </w:numPr>
        <w:spacing w:before="0" w:after="0" w:line="240" w:lineRule="auto"/>
        <w:jc w:val="both"/>
      </w:pPr>
      <w:r>
        <w:rPr>
          <w:rFonts w:ascii="Times New Roman" w:hAnsi="Times New Roman"/>
        </w:rPr>
        <w:t xml:space="preserve">The frequency range that is most sensitive to polarization at the air/water interface can be determined for given pore size. GPR and TDR measurements in the 100 MHz to GHz range are dominated by water molecule rotation, sensitive to moisture content, but not </w:t>
      </w:r>
      <w:r w:rsidRPr="005D789F">
        <w:rPr>
          <w:rFonts w:ascii="Times New Roman" w:hAnsi="Times New Roman"/>
        </w:rPr>
        <w:t xml:space="preserve">moisture distribution in the pores of partially saturated geomaterials. Low-frequency (DC or &lt; 200 Hz) resistivity </w:t>
      </w:r>
      <w:r>
        <w:rPr>
          <w:rFonts w:ascii="Times New Roman" w:hAnsi="Times New Roman"/>
        </w:rPr>
        <w:t xml:space="preserve">measures polarization at the air-water interface but is also sensitive to lower-frequency polarization mechanisms for nonuniform fine-grained aggregate distribution in a geomaterial.  </w:t>
      </w:r>
    </w:p>
    <w:p w14:paraId="4420A5F3" w14:textId="59EC8006" w:rsidR="00BC176C" w:rsidRDefault="00010210">
      <w:pPr>
        <w:pStyle w:val="ListParagraph"/>
        <w:numPr>
          <w:ilvl w:val="0"/>
          <w:numId w:val="2"/>
        </w:numPr>
        <w:spacing w:before="0" w:after="0" w:line="240" w:lineRule="auto"/>
        <w:jc w:val="both"/>
      </w:pPr>
      <w:r>
        <w:rPr>
          <w:rFonts w:ascii="Times New Roman" w:hAnsi="Times New Roman"/>
        </w:rPr>
        <w:t xml:space="preserve">The volume of </w:t>
      </w:r>
      <w:r w:rsidR="00932749">
        <w:rPr>
          <w:rFonts w:ascii="Times New Roman" w:hAnsi="Times New Roman"/>
        </w:rPr>
        <w:t xml:space="preserve">the </w:t>
      </w:r>
      <w:r>
        <w:rPr>
          <w:rFonts w:ascii="Times New Roman" w:hAnsi="Times New Roman"/>
        </w:rPr>
        <w:t>material investigated with CR measurements (</w:t>
      </w:r>
      <w:proofErr w:type="gramStart"/>
      <w:r>
        <w:rPr>
          <w:rFonts w:ascii="Times New Roman" w:hAnsi="Times New Roman"/>
        </w:rPr>
        <w:t>similar to</w:t>
      </w:r>
      <w:proofErr w:type="gramEnd"/>
      <w:r>
        <w:rPr>
          <w:rFonts w:ascii="Times New Roman" w:hAnsi="Times New Roman"/>
        </w:rPr>
        <w:t xml:space="preserve"> TDR) can be controllable by electrode geometry, in contrast to </w:t>
      </w:r>
      <w:r w:rsidR="00932749">
        <w:rPr>
          <w:rFonts w:ascii="Times New Roman" w:hAnsi="Times New Roman"/>
        </w:rPr>
        <w:t xml:space="preserve">the </w:t>
      </w:r>
      <w:r>
        <w:rPr>
          <w:rFonts w:ascii="Times New Roman" w:hAnsi="Times New Roman"/>
        </w:rPr>
        <w:t xml:space="preserve">decreasing depth of penetration with increasing frequency common to GPR or infrared. </w:t>
      </w:r>
    </w:p>
    <w:p w14:paraId="338B3D82" w14:textId="77777777" w:rsidR="00BC176C" w:rsidRDefault="00010210">
      <w:pPr>
        <w:pStyle w:val="ListParagraph"/>
        <w:numPr>
          <w:ilvl w:val="0"/>
          <w:numId w:val="2"/>
        </w:numPr>
        <w:spacing w:before="0" w:after="0" w:line="240" w:lineRule="auto"/>
        <w:jc w:val="both"/>
        <w:rPr>
          <w:rFonts w:ascii="Times New Roman" w:hAnsi="Times New Roman"/>
        </w:rPr>
      </w:pPr>
      <w:r>
        <w:rPr>
          <w:rFonts w:ascii="Times New Roman" w:hAnsi="Times New Roman"/>
        </w:rPr>
        <w:t>The feasibility of controlling the volume of investigation with CR facilitates the same measurements in both lab and field, simplifying material-specific calibration of the measurements.</w:t>
      </w:r>
    </w:p>
    <w:p w14:paraId="7FC38315" w14:textId="77777777" w:rsidR="00BC176C" w:rsidRDefault="00010210">
      <w:pPr>
        <w:pStyle w:val="ListParagraph"/>
        <w:numPr>
          <w:ilvl w:val="0"/>
          <w:numId w:val="2"/>
        </w:numPr>
        <w:spacing w:before="0" w:after="120" w:line="240" w:lineRule="auto"/>
        <w:jc w:val="both"/>
        <w:rPr>
          <w:rFonts w:ascii="Times New Roman" w:hAnsi="Times New Roman"/>
        </w:rPr>
      </w:pPr>
      <w:r>
        <w:rPr>
          <w:rFonts w:ascii="Times New Roman" w:hAnsi="Times New Roman"/>
        </w:rPr>
        <w:t xml:space="preserve">Using electrode measurements also lets us sidestep the usually uncontrolled factor of varying properties intrinsic to aggregate from different quarries, which can bias GPR/TDR/EM measurements. </w:t>
      </w:r>
    </w:p>
    <w:p w14:paraId="0A88BB30" w14:textId="60F83C0C" w:rsidR="00BC176C" w:rsidRDefault="00010210">
      <w:pPr>
        <w:spacing w:before="0" w:after="120" w:line="240" w:lineRule="auto"/>
        <w:jc w:val="both"/>
      </w:pPr>
      <w:r w:rsidRPr="007742ED">
        <w:rPr>
          <w:rFonts w:ascii="Times New Roman" w:hAnsi="Times New Roman"/>
          <w:b/>
          <w:bCs/>
          <w:i/>
          <w:iCs/>
        </w:rPr>
        <w:t>Implementation.</w:t>
      </w:r>
      <w:r>
        <w:rPr>
          <w:rFonts w:ascii="Times New Roman" w:hAnsi="Times New Roman"/>
          <w:b/>
          <w:bCs/>
          <w:i/>
          <w:iCs/>
        </w:rPr>
        <w:t xml:space="preserve"> </w:t>
      </w:r>
      <w:r>
        <w:rPr>
          <w:rFonts w:ascii="Times New Roman" w:hAnsi="Times New Roman"/>
        </w:rPr>
        <w:t xml:space="preserve">We expect the best diagnostic results from </w:t>
      </w:r>
      <w:r w:rsidR="00932749">
        <w:rPr>
          <w:rFonts w:ascii="Times New Roman" w:hAnsi="Times New Roman"/>
        </w:rPr>
        <w:t xml:space="preserve">the </w:t>
      </w:r>
      <w:r>
        <w:rPr>
          <w:rFonts w:ascii="Times New Roman" w:hAnsi="Times New Roman"/>
        </w:rPr>
        <w:t>CR method to come from a primary measurement of complex resistivity via a 4-electrode (4E) resistivity array, using surface contacts similar to the Proceq Resipod (</w:t>
      </w:r>
      <w:hyperlink r:id="rId12">
        <w:r>
          <w:rPr>
            <w:rStyle w:val="InternetLink"/>
            <w:rFonts w:ascii="Times New Roman" w:hAnsi="Times New Roman"/>
          </w:rPr>
          <w:t>https://www.proceq.com/uploads/tx_proceqproductcms/import_</w:t>
        </w:r>
      </w:hyperlink>
      <w:r>
        <w:rPr>
          <w:rStyle w:val="InternetLink"/>
          <w:rFonts w:ascii="Times New Roman" w:hAnsi="Times New Roman"/>
        </w:rPr>
        <w:t>data/files/ Resipod%20Family_Sales%20Flyer_English_high.pdf</w:t>
      </w:r>
      <w:r>
        <w:rPr>
          <w:rFonts w:ascii="Times New Roman" w:hAnsi="Times New Roman"/>
        </w:rPr>
        <w:t xml:space="preserve">).  More sophisticated electronics permit variable frequency and variable amplitude sine-wave current induced at a pair of electrodes to drive the in-phase and out-of-phase voltage on a distinct pair of measurement electrodes. </w:t>
      </w:r>
    </w:p>
    <w:p w14:paraId="3A81CBF9" w14:textId="7E5CC8F3" w:rsidR="00BC176C" w:rsidRDefault="00010210">
      <w:pPr>
        <w:spacing w:before="0" w:after="120" w:line="240" w:lineRule="auto"/>
        <w:jc w:val="both"/>
      </w:pPr>
      <w:r w:rsidRPr="005D789F">
        <w:rPr>
          <w:noProof/>
          <w:lang w:bidi="ar-SA"/>
        </w:rPr>
        <w:drawing>
          <wp:anchor distT="0" distB="11430" distL="114300" distR="132715" simplePos="0" relativeHeight="12" behindDoc="0" locked="0" layoutInCell="1" allowOverlap="1" wp14:anchorId="65AE52A5" wp14:editId="6BA57887">
            <wp:simplePos x="0" y="0"/>
            <wp:positionH relativeFrom="column">
              <wp:posOffset>3010535</wp:posOffset>
            </wp:positionH>
            <wp:positionV relativeFrom="paragraph">
              <wp:posOffset>1007110</wp:posOffset>
            </wp:positionV>
            <wp:extent cx="3057525" cy="1575435"/>
            <wp:effectExtent l="0" t="0" r="0" b="0"/>
            <wp:wrapTight wrapText="bothSides">
              <wp:wrapPolygon edited="0">
                <wp:start x="-25" y="0"/>
                <wp:lineTo x="-25" y="21390"/>
                <wp:lineTo x="21529" y="21390"/>
                <wp:lineTo x="21529" y="0"/>
                <wp:lineTo x="-25" y="0"/>
              </wp:wrapPolygon>
            </wp:wrapTight>
            <wp:docPr id="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8"/>
                    <pic:cNvPicPr>
                      <a:picLocks noChangeAspect="1" noChangeArrowheads="1"/>
                    </pic:cNvPicPr>
                  </pic:nvPicPr>
                  <pic:blipFill>
                    <a:blip r:embed="rId13"/>
                    <a:stretch>
                      <a:fillRect/>
                    </a:stretch>
                  </pic:blipFill>
                  <pic:spPr bwMode="auto">
                    <a:xfrm>
                      <a:off x="0" y="0"/>
                      <a:ext cx="3057525" cy="1575435"/>
                    </a:xfrm>
                    <a:prstGeom prst="rect">
                      <a:avLst/>
                    </a:prstGeom>
                  </pic:spPr>
                </pic:pic>
              </a:graphicData>
            </a:graphic>
          </wp:anchor>
        </w:drawing>
      </w:r>
      <w:r w:rsidRPr="005D789F">
        <w:rPr>
          <w:rFonts w:ascii="Times New Roman" w:hAnsi="Times New Roman"/>
        </w:rPr>
        <w:t>Potential hardware variants that may allow for less accurate, but faster continuous field measurement include using electromagnetic</w:t>
      </w:r>
      <w:r w:rsidR="00932749">
        <w:rPr>
          <w:rFonts w:ascii="Times New Roman" w:hAnsi="Times New Roman"/>
        </w:rPr>
        <w:t>ally</w:t>
      </w:r>
      <w:r w:rsidRPr="005D789F">
        <w:rPr>
          <w:rFonts w:ascii="Times New Roman" w:hAnsi="Times New Roman"/>
        </w:rPr>
        <w:t xml:space="preserve"> coupled eddy-currents (typically used for resistivity and magnetic susceptibility</w:t>
      </w:r>
      <w:r>
        <w:rPr>
          <w:rFonts w:ascii="Times New Roman" w:hAnsi="Times New Roman"/>
        </w:rPr>
        <w:t>) sensors, or capacitive-coupled field injection technique used in the non-contact Ohm-Mapper (</w:t>
      </w:r>
      <w:hyperlink r:id="rId14">
        <w:r>
          <w:rPr>
            <w:rStyle w:val="InternetLink"/>
            <w:rFonts w:ascii="Times New Roman" w:hAnsi="Times New Roman"/>
          </w:rPr>
          <w:t>https://geometrics.com/wp-content/uploads/2018/10/OhmMapper_Spec_Sheet.pdf</w:t>
        </w:r>
      </w:hyperlink>
      <w:r>
        <w:rPr>
          <w:rFonts w:ascii="Times New Roman" w:hAnsi="Times New Roman"/>
        </w:rPr>
        <w:t xml:space="preserve">). </w:t>
      </w:r>
      <w:r w:rsidR="00932749">
        <w:rPr>
          <w:rFonts w:ascii="Times New Roman" w:hAnsi="Times New Roman"/>
        </w:rPr>
        <w:t>Ano</w:t>
      </w:r>
      <w:r>
        <w:rPr>
          <w:rFonts w:ascii="Times New Roman" w:hAnsi="Times New Roman"/>
        </w:rPr>
        <w:t>ther potential field optimization is to use combinations of multiple current electrodes, and multiple potential electrode pairs to cover a larger spatial area (up to a lane width) to image lateral and depth variations. Continuous measurements in one position can measure time-depth moisture migration.</w:t>
      </w:r>
    </w:p>
    <w:p w14:paraId="207AD764" w14:textId="77777777" w:rsidR="00BC176C" w:rsidRDefault="00010210">
      <w:pPr>
        <w:spacing w:before="0" w:after="120" w:line="240" w:lineRule="auto"/>
        <w:jc w:val="both"/>
        <w:rPr>
          <w:rFonts w:ascii="Times New Roman" w:hAnsi="Times New Roman"/>
        </w:rPr>
      </w:pPr>
      <w:r w:rsidRPr="007742ED">
        <w:rPr>
          <w:rFonts w:ascii="Times New Roman" w:hAnsi="Times New Roman"/>
          <w:b/>
          <w:bCs/>
          <w:i/>
          <w:iCs/>
        </w:rPr>
        <w:t>Instrumentation.</w:t>
      </w:r>
      <w:r>
        <w:rPr>
          <w:rFonts w:ascii="Times New Roman" w:hAnsi="Times New Roman"/>
        </w:rPr>
        <w:t xml:space="preserve"> A conceptual configuration of the system is shown in Figure 2, using an equatorial array geometry with multiple sources, giving both spatial variation and depth information. The following four independent components are necessary to implement CR for continuous field measurements:</w:t>
      </w:r>
    </w:p>
    <w:p w14:paraId="23A5D931" w14:textId="77777777" w:rsidR="00BC176C" w:rsidRDefault="00010210">
      <w:pPr>
        <w:pStyle w:val="ListParagraph"/>
        <w:numPr>
          <w:ilvl w:val="0"/>
          <w:numId w:val="4"/>
        </w:numPr>
        <w:spacing w:before="0" w:after="0" w:line="240" w:lineRule="auto"/>
        <w:jc w:val="both"/>
        <w:rPr>
          <w:rFonts w:ascii="Times New Roman" w:hAnsi="Times New Roman"/>
        </w:rPr>
      </w:pPr>
      <w:r>
        <w:rPr>
          <w:noProof/>
          <w:lang w:bidi="ar-SA"/>
        </w:rPr>
        <mc:AlternateContent>
          <mc:Choice Requires="wps">
            <w:drawing>
              <wp:anchor distT="0" distB="0" distL="114300" distR="114300" simplePos="0" relativeHeight="14" behindDoc="1" locked="0" layoutInCell="1" allowOverlap="1" wp14:anchorId="460DC529" wp14:editId="195181F3">
                <wp:simplePos x="0" y="0"/>
                <wp:positionH relativeFrom="column">
                  <wp:posOffset>3132455</wp:posOffset>
                </wp:positionH>
                <wp:positionV relativeFrom="paragraph">
                  <wp:posOffset>179705</wp:posOffset>
                </wp:positionV>
                <wp:extent cx="2832735" cy="322580"/>
                <wp:effectExtent l="0" t="0" r="6350" b="1905"/>
                <wp:wrapTight wrapText="bothSides">
                  <wp:wrapPolygon edited="0">
                    <wp:start x="0" y="0"/>
                    <wp:lineTo x="0" y="20450"/>
                    <wp:lineTo x="21503" y="20450"/>
                    <wp:lineTo x="21503" y="0"/>
                    <wp:lineTo x="0" y="0"/>
                  </wp:wrapPolygon>
                </wp:wrapTight>
                <wp:docPr id="3" name="Text Box 6"/>
                <wp:cNvGraphicFramePr/>
                <a:graphic xmlns:a="http://schemas.openxmlformats.org/drawingml/2006/main">
                  <a:graphicData uri="http://schemas.microsoft.com/office/word/2010/wordprocessingShape">
                    <wps:wsp>
                      <wps:cNvSpPr/>
                      <wps:spPr>
                        <a:xfrm>
                          <a:off x="0" y="0"/>
                          <a:ext cx="2832120" cy="321840"/>
                        </a:xfrm>
                        <a:prstGeom prst="rect">
                          <a:avLst/>
                        </a:prstGeom>
                        <a:solidFill>
                          <a:srgbClr val="FFFFFF"/>
                        </a:solidFill>
                        <a:ln>
                          <a:noFill/>
                        </a:ln>
                      </wps:spPr>
                      <wps:style>
                        <a:lnRef idx="0">
                          <a:scrgbClr r="0" g="0" b="0"/>
                        </a:lnRef>
                        <a:fillRef idx="0">
                          <a:scrgbClr r="0" g="0" b="0"/>
                        </a:fillRef>
                        <a:effectRef idx="0">
                          <a:scrgbClr r="0" g="0" b="0"/>
                        </a:effectRef>
                        <a:fontRef idx="minor"/>
                      </wps:style>
                      <wps:txbx>
                        <w:txbxContent>
                          <w:p w14:paraId="690034D4" w14:textId="77777777" w:rsidR="00BC176C" w:rsidRDefault="00010210">
                            <w:pPr>
                              <w:pStyle w:val="Caption"/>
                              <w:spacing w:before="0" w:after="0"/>
                              <w:jc w:val="center"/>
                            </w:pPr>
                            <w:r>
                              <w:rPr>
                                <w:rFonts w:ascii="Times New Roman" w:hAnsi="Times New Roman"/>
                                <w:b/>
                                <w:bCs/>
                              </w:rPr>
                              <w:t>Figure 2 - A Conceptual Configuration of Proposed System</w:t>
                            </w:r>
                          </w:p>
                        </w:txbxContent>
                      </wps:txbx>
                      <wps:bodyPr lIns="0" tIns="0" rIns="0" bIns="0">
                        <a:prstTxWarp prst="textNoShape">
                          <a:avLst/>
                        </a:prstTxWarp>
                        <a:noAutofit/>
                      </wps:bodyPr>
                    </wps:wsp>
                  </a:graphicData>
                </a:graphic>
              </wp:anchor>
            </w:drawing>
          </mc:Choice>
          <mc:Fallback>
            <w:pict>
              <v:rect w14:anchorId="460DC529" id="Text Box 6" o:spid="_x0000_s1026" style="position:absolute;left:0;text-align:left;margin-left:246.65pt;margin-top:14.15pt;width:223.05pt;height:25.4pt;z-index:-50331646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" stroked="f">
                <v:textbox inset="0,0,0,0">
                  <w:txbxContent>
                    <w:p w14:paraId="690034D4" w14:textId="77777777" w:rsidR="00BC176C" w:rsidRDefault="00010210">
                      <w:pPr>
                        <w:pStyle w:val="Caption"/>
                        <w:spacing w:before="0" w:after="0"/>
                        <w:jc w:val="center"/>
                      </w:pPr>
                      <w:r>
                        <w:rPr>
                          <w:rFonts w:ascii="Times New Roman" w:hAnsi="Times New Roman"/>
                          <w:b/>
                          <w:bCs/>
                        </w:rPr>
                        <w:t>Figure 2 - A Conceptual Configuration of Proposed System</w:t>
                      </w:r>
                    </w:p>
                  </w:txbxContent>
                </v:textbox>
                <w10:wrap type="tight"/>
              </v:rect>
            </w:pict>
          </mc:Fallback>
        </mc:AlternateContent>
      </w:r>
      <w:r>
        <w:rPr>
          <w:rFonts w:ascii="Times New Roman" w:hAnsi="Times New Roman"/>
        </w:rPr>
        <w:t xml:space="preserve">The electronics and lab electrode systems for making the CR measurement at the relevant frequencies need to be built and validated. </w:t>
      </w:r>
    </w:p>
    <w:p w14:paraId="2C89F9AE" w14:textId="77777777" w:rsidR="00BC176C" w:rsidRDefault="00010210">
      <w:pPr>
        <w:pStyle w:val="ListParagraph"/>
        <w:numPr>
          <w:ilvl w:val="0"/>
          <w:numId w:val="4"/>
        </w:numPr>
        <w:spacing w:before="0" w:after="0" w:line="240" w:lineRule="auto"/>
        <w:jc w:val="both"/>
        <w:rPr>
          <w:rFonts w:ascii="Times New Roman" w:hAnsi="Times New Roman"/>
        </w:rPr>
      </w:pPr>
      <w:r>
        <w:rPr>
          <w:rFonts w:ascii="Times New Roman" w:hAnsi="Times New Roman"/>
        </w:rPr>
        <w:t xml:space="preserve">A basic field electrode array needs to be designed and built that implements a small array of current injection and voltage sensing electrodes. This array could equally well be used for basic DC resistivity electronics in some form. Electrode spacings and geometries should be designed for target lift/layer thicknesses. </w:t>
      </w:r>
    </w:p>
    <w:p w14:paraId="443C49A0" w14:textId="77777777" w:rsidR="00BC176C" w:rsidRDefault="00010210">
      <w:pPr>
        <w:pStyle w:val="ListParagraph"/>
        <w:numPr>
          <w:ilvl w:val="0"/>
          <w:numId w:val="4"/>
        </w:numPr>
        <w:spacing w:before="0" w:after="120" w:line="240" w:lineRule="auto"/>
        <w:jc w:val="both"/>
        <w:rPr>
          <w:rFonts w:ascii="Times New Roman" w:hAnsi="Times New Roman"/>
        </w:rPr>
      </w:pPr>
      <w:r>
        <w:rPr>
          <w:rFonts w:ascii="Times New Roman" w:hAnsi="Times New Roman"/>
        </w:rPr>
        <w:t xml:space="preserve">Multiple arrays could be combined into a wider array should measurement up to road-width be desired. </w:t>
      </w:r>
    </w:p>
    <w:p w14:paraId="57E1488E" w14:textId="3D6D0BBE" w:rsidR="00BC176C" w:rsidRDefault="00010210">
      <w:pPr>
        <w:pStyle w:val="ListParagraph"/>
        <w:numPr>
          <w:ilvl w:val="0"/>
          <w:numId w:val="4"/>
        </w:numPr>
        <w:spacing w:before="0" w:after="120" w:line="240" w:lineRule="auto"/>
        <w:jc w:val="both"/>
        <w:rPr>
          <w:rFonts w:ascii="Times New Roman" w:hAnsi="Times New Roman"/>
        </w:rPr>
      </w:pPr>
      <w:r>
        <w:rPr>
          <w:rFonts w:ascii="Times New Roman" w:hAnsi="Times New Roman"/>
        </w:rPr>
        <w:t xml:space="preserve">Software for interpreting DC resistivity measurements can be applied as a first pass. Success in the first stage will point toward implementing finite-difference modeling to improve array geometry and </w:t>
      </w:r>
      <w:r>
        <w:rPr>
          <w:rFonts w:ascii="Times New Roman" w:hAnsi="Times New Roman"/>
        </w:rPr>
        <w:lastRenderedPageBreak/>
        <w:t xml:space="preserve">characterize the effect of resistivity anisotropy on the measurement. </w:t>
      </w:r>
      <w:r w:rsidR="00932749">
        <w:rPr>
          <w:rFonts w:ascii="Times New Roman" w:hAnsi="Times New Roman"/>
        </w:rPr>
        <w:t>Besides</w:t>
      </w:r>
      <w:r>
        <w:rPr>
          <w:rFonts w:ascii="Times New Roman" w:hAnsi="Times New Roman"/>
        </w:rPr>
        <w:t>, mixing laws predicting CR from composition do not exist, and particularly do not share common variables with matric suction models. Development and testing of these models require joint lab characterization and it appears assumptions used by de Lima and Sharma (1991) are appropriate for this development direction.</w:t>
      </w:r>
    </w:p>
    <w:p w14:paraId="78A949B9" w14:textId="38494CB1" w:rsidR="00BC176C" w:rsidRDefault="00010210">
      <w:pPr>
        <w:spacing w:before="0" w:after="120" w:line="240" w:lineRule="auto"/>
        <w:jc w:val="both"/>
        <w:rPr>
          <w:rFonts w:ascii="Times New Roman" w:hAnsi="Times New Roman"/>
        </w:rPr>
      </w:pPr>
      <w:r>
        <w:rPr>
          <w:rFonts w:ascii="Times New Roman" w:hAnsi="Times New Roman"/>
        </w:rPr>
        <w:t>Equipment for measuring CR in the field and an array for making continuous measurements in construction settings cannot be purchased off-the-shelf. Commercial resistivity devices do not operate in this higher frequency range and make polarization measurements with unacceptable assumptions. Laboratory grade phase-lock amplifiers and distortion analyzers applicable to making CR measurements exist. In the past year</w:t>
      </w:r>
      <w:r w:rsidR="00932749">
        <w:rPr>
          <w:rFonts w:ascii="Times New Roman" w:hAnsi="Times New Roman"/>
        </w:rPr>
        <w:t>,</w:t>
      </w:r>
      <w:r>
        <w:rPr>
          <w:rFonts w:ascii="Times New Roman" w:hAnsi="Times New Roman"/>
        </w:rPr>
        <w:t xml:space="preserve"> we have designed and prototyped a small inexpensive phase-locked signal generator and phase-sensitive detectors that exceed the noise-rejection and accuracy we need for the lab phase and can move directly into a field prototype under either 4E, EM, or capacitive-coupled approaches. </w:t>
      </w:r>
    </w:p>
    <w:p w14:paraId="117E2BC1" w14:textId="26A99354" w:rsidR="00BC176C" w:rsidRDefault="00010210">
      <w:pPr>
        <w:spacing w:before="0" w:after="120" w:line="240" w:lineRule="auto"/>
        <w:jc w:val="both"/>
      </w:pPr>
      <w:r w:rsidRPr="007742ED">
        <w:rPr>
          <w:rFonts w:ascii="Times New Roman" w:hAnsi="Times New Roman"/>
          <w:b/>
          <w:bCs/>
          <w:i/>
          <w:iCs/>
        </w:rPr>
        <w:t>Field Operation</w:t>
      </w:r>
      <w:r w:rsidRPr="0095395C">
        <w:rPr>
          <w:rFonts w:ascii="Times New Roman" w:hAnsi="Times New Roman"/>
          <w:i/>
          <w:iCs/>
        </w:rPr>
        <w:t>.</w:t>
      </w:r>
      <w:r>
        <w:rPr>
          <w:rFonts w:ascii="Times New Roman" w:hAnsi="Times New Roman"/>
        </w:rPr>
        <w:t xml:space="preserve">  We envision field operation could be done very similar</w:t>
      </w:r>
      <w:r w:rsidR="00932749">
        <w:rPr>
          <w:rFonts w:ascii="Times New Roman" w:hAnsi="Times New Roman"/>
        </w:rPr>
        <w:t>ly</w:t>
      </w:r>
      <w:r>
        <w:rPr>
          <w:rFonts w:ascii="Times New Roman" w:hAnsi="Times New Roman"/>
        </w:rPr>
        <w:t xml:space="preserve"> to the Asphalt Rolling Density Meter currently used for obtaining the hot mix asphalt air voids content. The area will be mapped first to site locations for a few calibration samples.  The field measurements and the results from the calibration samples will be used to provide a continuous map of the moisture content and its derivatives.  Ideally, the CR measurements can be conducted at two stages. The first set of measurements can be carried out after material placement, watering</w:t>
      </w:r>
      <w:r w:rsidR="00932749">
        <w:rPr>
          <w:rFonts w:ascii="Times New Roman" w:hAnsi="Times New Roman"/>
        </w:rPr>
        <w:t>,</w:t>
      </w:r>
      <w:r>
        <w:rPr>
          <w:rFonts w:ascii="Times New Roman" w:hAnsi="Times New Roman"/>
        </w:rPr>
        <w:t xml:space="preserve"> and mixing but before compaction as a process control to assist the contractor with identifying the distribution of fines, uniformity of watering, and a bound on whether adequate water was applied.  The second set of tests can be conducted as part of quality control to ensure the appropriate distribution of the moisture content.  If the two sets of measurements are carried out along the same section, the differential in CR measurements can only come from a reduction in voids and </w:t>
      </w:r>
      <w:r w:rsidR="00932749">
        <w:rPr>
          <w:rFonts w:ascii="Times New Roman" w:hAnsi="Times New Roman"/>
        </w:rPr>
        <w:t xml:space="preserve">an </w:t>
      </w:r>
      <w:r>
        <w:rPr>
          <w:rFonts w:ascii="Times New Roman" w:hAnsi="Times New Roman"/>
        </w:rPr>
        <w:t xml:space="preserve">increase in the degree of saturation. These measurements can be very valuable for understanding the process of compaction of different geomaterials.  </w:t>
      </w:r>
    </w:p>
    <w:p w14:paraId="3061542B" w14:textId="0FEFDE3E" w:rsidR="00BC176C" w:rsidRDefault="00010210">
      <w:pPr>
        <w:spacing w:before="0" w:after="0" w:line="240" w:lineRule="auto"/>
        <w:jc w:val="both"/>
        <w:rPr>
          <w:rFonts w:ascii="Times New Roman" w:hAnsi="Times New Roman"/>
        </w:rPr>
      </w:pPr>
      <w:r w:rsidRPr="007742ED">
        <w:rPr>
          <w:rFonts w:ascii="Times New Roman" w:hAnsi="Times New Roman"/>
          <w:b/>
          <w:bCs/>
          <w:i/>
          <w:iCs/>
        </w:rPr>
        <w:t>Calibration.</w:t>
      </w:r>
      <w:r w:rsidRPr="007742ED">
        <w:rPr>
          <w:rFonts w:ascii="Times New Roman" w:hAnsi="Times New Roman"/>
          <w:b/>
          <w:bCs/>
        </w:rPr>
        <w:t xml:space="preserve"> </w:t>
      </w:r>
      <w:r>
        <w:rPr>
          <w:rFonts w:ascii="Times New Roman" w:hAnsi="Times New Roman"/>
        </w:rPr>
        <w:t xml:space="preserve"> Calibration of the CR measurements to pavement performance can follow several paths. As the first step, several moisture-density specimens prepared for the Proctor tests can be used to develop moisture and degree of saturation vs. CR measurement curve (simultaneous with the moisture-density curve).  This preliminary curve can be used to develop the moisture content/degree of saturation color-coded maps.  As indicated above, for more rigorous calibration several samples of the geomaterial will be tested to develop a project-specific local calibration curve (very similar to the asphalt roller density meter). A more advance</w:t>
      </w:r>
      <w:r w:rsidR="00932749">
        <w:rPr>
          <w:rFonts w:ascii="Times New Roman" w:hAnsi="Times New Roman"/>
        </w:rPr>
        <w:t>d</w:t>
      </w:r>
      <w:r>
        <w:rPr>
          <w:rFonts w:ascii="Times New Roman" w:hAnsi="Times New Roman"/>
        </w:rPr>
        <w:t xml:space="preserve"> approach that can be implemented in the future phases of this project involves </w:t>
      </w:r>
      <w:r w:rsidR="00932749">
        <w:rPr>
          <w:rFonts w:ascii="Times New Roman" w:hAnsi="Times New Roman"/>
        </w:rPr>
        <w:t xml:space="preserve">the </w:t>
      </w:r>
      <w:r>
        <w:rPr>
          <w:rFonts w:ascii="Times New Roman" w:hAnsi="Times New Roman"/>
        </w:rPr>
        <w:t xml:space="preserve">development of mixing laws that integrate the matric suction pore geometries with CR and stiffness prediction. </w:t>
      </w:r>
    </w:p>
    <w:p w14:paraId="20E6D349" w14:textId="002DB3D0" w:rsidR="00BC176C" w:rsidRDefault="00010210">
      <w:pPr>
        <w:spacing w:before="240" w:after="120" w:line="240" w:lineRule="auto"/>
        <w:jc w:val="both"/>
        <w:rPr>
          <w:rFonts w:ascii="Times New Roman" w:hAnsi="Times New Roman"/>
        </w:rPr>
      </w:pPr>
      <w:r w:rsidRPr="007742ED">
        <w:rPr>
          <w:rFonts w:ascii="Times New Roman" w:hAnsi="Times New Roman"/>
          <w:b/>
          <w:bCs/>
          <w:color w:val="003865"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Variables: </w:t>
      </w:r>
      <w:r>
        <w:rPr>
          <w:rFonts w:ascii="Times New Roman" w:hAnsi="Times New Roman"/>
        </w:rPr>
        <w:t xml:space="preserve">The key variables of the geomaterials are the volumetric and gravimetric moisture contents, degree of saturation, matric suction, dielectric permittivity, electrical conductively, and the oscillation frequency of the electromagnetic field created by the waveguides.  Another variable that is significant in equipment design or configuration is the depth of investigation.  The goal of the team is to test systematically the sensitivity of the proposed system to each of these parameters as discussed in the methodology section. </w:t>
      </w:r>
    </w:p>
    <w:p w14:paraId="52444CF1" w14:textId="77777777" w:rsidR="00BC176C" w:rsidRPr="005D789F" w:rsidRDefault="00010210">
      <w:pPr>
        <w:spacing w:before="240" w:line="240" w:lineRule="auto"/>
        <w:jc w:val="both"/>
      </w:pPr>
      <w:r w:rsidRPr="007742ED">
        <w:rPr>
          <w:rFonts w:ascii="Times New Roman" w:hAnsi="Times New Roman"/>
          <w:b/>
          <w:bCs/>
          <w:color w:val="003865"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Hypothesis:</w:t>
      </w:r>
      <w:r w:rsidRPr="005D789F">
        <w:rPr>
          <w:rFonts w:ascii="Times New Roman" w:hAnsi="Times New Roman"/>
        </w:rPr>
        <w:t xml:space="preserve"> The hypothesis is that the dielectric permittivity and electrical conductivity of in-place geomaterials can be continuously measured and used to estimate the moisture content and matric suction, which can then be displayed graphically as a moisture uniformity map.</w:t>
      </w:r>
    </w:p>
    <w:p w14:paraId="2148A6F3" w14:textId="77777777" w:rsidR="00BC176C" w:rsidRDefault="00010210">
      <w:pPr>
        <w:spacing w:before="240" w:after="120" w:line="240" w:lineRule="auto"/>
        <w:jc w:val="both"/>
        <w:rPr>
          <w:rFonts w:ascii="Times New Roman" w:hAnsi="Times New Roman"/>
        </w:rPr>
      </w:pPr>
      <w:r w:rsidRPr="007742ED">
        <w:rPr>
          <w:rFonts w:ascii="Times New Roman" w:hAnsi="Times New Roman"/>
          <w:b/>
          <w:bCs/>
          <w:color w:val="003865"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Methodology: </w:t>
      </w:r>
      <w:r>
        <w:rPr>
          <w:rFonts w:ascii="Times New Roman" w:hAnsi="Times New Roman"/>
        </w:rPr>
        <w:t xml:space="preserve">The project will include the following five tasks. </w:t>
      </w:r>
    </w:p>
    <w:p w14:paraId="7B39733E" w14:textId="7457EA62" w:rsidR="00BC176C" w:rsidRDefault="00010210">
      <w:pPr>
        <w:spacing w:before="0" w:after="120" w:line="240" w:lineRule="auto"/>
        <w:jc w:val="both"/>
      </w:pPr>
      <w:r w:rsidRPr="007742ED">
        <w:rPr>
          <w:rFonts w:ascii="Times New Roman" w:hAnsi="Times New Roman"/>
          <w:b/>
          <w:bCs/>
          <w:i/>
          <w:iCs/>
        </w:rPr>
        <w:t>Task 1: Document Current State of Knowledge</w:t>
      </w:r>
      <w:r>
        <w:rPr>
          <w:rFonts w:ascii="Times New Roman" w:hAnsi="Times New Roman"/>
          <w:b/>
          <w:bCs/>
          <w:i/>
          <w:iCs/>
        </w:rPr>
        <w:t xml:space="preserve">.  </w:t>
      </w:r>
      <w:r>
        <w:rPr>
          <w:rFonts w:ascii="Times New Roman" w:hAnsi="Times New Roman"/>
        </w:rPr>
        <w:t xml:space="preserve">A substantial review of </w:t>
      </w:r>
      <w:r w:rsidR="00932749">
        <w:rPr>
          <w:rFonts w:ascii="Times New Roman" w:hAnsi="Times New Roman"/>
        </w:rPr>
        <w:t xml:space="preserve">the </w:t>
      </w:r>
      <w:r>
        <w:rPr>
          <w:rFonts w:ascii="Times New Roman" w:hAnsi="Times New Roman"/>
        </w:rPr>
        <w:t xml:space="preserve">literature has been carried out in preparing this proposal. In this task the current state of knowledge related to field and laboratory methods that can measure or estimate material properties used to determine moisture content, degree of saturation </w:t>
      </w:r>
      <w:r>
        <w:rPr>
          <w:rFonts w:ascii="Times New Roman" w:hAnsi="Times New Roman"/>
        </w:rPr>
        <w:lastRenderedPageBreak/>
        <w:t xml:space="preserve">and matric suction will be documented.  As part of this task, several case studies that demonstrate the technical benefits and the cost savings resulting from more effective moisture monitoring will also be provided.  Finally, this task will be concluded with a comprehensive and extended work plan for the smooth and timely execution of this project. </w:t>
      </w:r>
    </w:p>
    <w:p w14:paraId="66070FDA" w14:textId="4D23FF3B" w:rsidR="00BC176C" w:rsidRDefault="00010210">
      <w:pPr>
        <w:spacing w:before="0" w:after="120" w:line="240" w:lineRule="auto"/>
        <w:jc w:val="both"/>
        <w:rPr>
          <w:rFonts w:ascii="Times New Roman" w:hAnsi="Times New Roman"/>
        </w:rPr>
      </w:pPr>
      <w:r>
        <w:rPr>
          <w:rFonts w:ascii="Times New Roman" w:hAnsi="Times New Roman"/>
        </w:rPr>
        <w:t xml:space="preserve">This task also consists of developing an experimental test plan to test up to ten different geomaterials.  Based on the interaction with the panel, up to six geomaterials will be selected as a baseline for verification of the outcomes of this study. These materials will be preferably from the home State of the panel members for close interaction and feedback. We will sample </w:t>
      </w:r>
      <w:r w:rsidR="00932749">
        <w:rPr>
          <w:rFonts w:ascii="Times New Roman" w:hAnsi="Times New Roman"/>
        </w:rPr>
        <w:t xml:space="preserve">an </w:t>
      </w:r>
      <w:r>
        <w:rPr>
          <w:rFonts w:ascii="Times New Roman" w:hAnsi="Times New Roman"/>
        </w:rPr>
        <w:t>adequate amount of materials for laboratory and small-scale studies as described below. Our current thinking is to select two fine-grained soils (CL, CH, ML</w:t>
      </w:r>
      <w:r w:rsidR="00932749">
        <w:rPr>
          <w:rFonts w:ascii="Times New Roman" w:hAnsi="Times New Roman"/>
        </w:rPr>
        <w:t>,</w:t>
      </w:r>
      <w:r>
        <w:rPr>
          <w:rFonts w:ascii="Times New Roman" w:hAnsi="Times New Roman"/>
        </w:rPr>
        <w:t xml:space="preserve"> or MH), two sandy materials (SW, SP, SM</w:t>
      </w:r>
      <w:r w:rsidR="00932749">
        <w:rPr>
          <w:rFonts w:ascii="Times New Roman" w:hAnsi="Times New Roman"/>
        </w:rPr>
        <w:t>,</w:t>
      </w:r>
      <w:r>
        <w:rPr>
          <w:rFonts w:ascii="Times New Roman" w:hAnsi="Times New Roman"/>
        </w:rPr>
        <w:t xml:space="preserve"> or SC)</w:t>
      </w:r>
      <w:r w:rsidR="00932749">
        <w:rPr>
          <w:rFonts w:ascii="Times New Roman" w:hAnsi="Times New Roman"/>
        </w:rPr>
        <w:t>,</w:t>
      </w:r>
      <w:r>
        <w:rPr>
          <w:rFonts w:ascii="Times New Roman" w:hAnsi="Times New Roman"/>
        </w:rPr>
        <w:t xml:space="preserve"> and two coarse-grained materials (GW, GP, GM</w:t>
      </w:r>
      <w:r w:rsidR="00932749">
        <w:rPr>
          <w:rFonts w:ascii="Times New Roman" w:hAnsi="Times New Roman"/>
        </w:rPr>
        <w:t>,</w:t>
      </w:r>
      <w:r>
        <w:rPr>
          <w:rFonts w:ascii="Times New Roman" w:hAnsi="Times New Roman"/>
        </w:rPr>
        <w:t xml:space="preserve"> or GC). These ranges provide a good basis for materials with different characteristics in terms of their interaction with moisture, levels of suction, levels of moduli</w:t>
      </w:r>
      <w:r w:rsidR="00932749">
        <w:rPr>
          <w:rFonts w:ascii="Times New Roman" w:hAnsi="Times New Roman"/>
        </w:rPr>
        <w:t>,</w:t>
      </w:r>
      <w:r>
        <w:rPr>
          <w:rFonts w:ascii="Times New Roman" w:hAnsi="Times New Roman"/>
        </w:rPr>
        <w:t xml:space="preserve"> and their use as compacted geomaterials.  </w:t>
      </w:r>
    </w:p>
    <w:p w14:paraId="37F801A0" w14:textId="77777777" w:rsidR="00BC176C" w:rsidRDefault="00010210">
      <w:pPr>
        <w:spacing w:before="0" w:after="120" w:line="240" w:lineRule="auto"/>
        <w:jc w:val="both"/>
        <w:rPr>
          <w:rFonts w:ascii="Times New Roman" w:hAnsi="Times New Roman"/>
        </w:rPr>
      </w:pPr>
      <w:r w:rsidRPr="007742ED">
        <w:rPr>
          <w:rFonts w:ascii="Times New Roman" w:hAnsi="Times New Roman"/>
          <w:b/>
          <w:bCs/>
          <w:i/>
          <w:iCs/>
        </w:rPr>
        <w:t>Task 2: Test Laboratory Prototype.</w:t>
      </w:r>
      <w:r>
        <w:rPr>
          <w:rFonts w:ascii="Times New Roman" w:hAnsi="Times New Roman"/>
          <w:b/>
          <w:bCs/>
          <w:i/>
          <w:iCs/>
        </w:rPr>
        <w:t xml:space="preserve">  </w:t>
      </w:r>
      <w:r>
        <w:rPr>
          <w:rFonts w:ascii="Times New Roman" w:hAnsi="Times New Roman"/>
        </w:rPr>
        <w:t xml:space="preserve">Initial work has been carried out to prototype the devices for laboratory testing.  We anticipate that the prototype will be functional by the time that Task 1 is completed.  </w:t>
      </w:r>
    </w:p>
    <w:p w14:paraId="40633263" w14:textId="7903552B" w:rsidR="00BC176C" w:rsidRDefault="00010210">
      <w:pPr>
        <w:spacing w:before="0" w:after="120" w:line="240" w:lineRule="auto"/>
        <w:jc w:val="both"/>
      </w:pPr>
      <w:r>
        <w:rPr>
          <w:rFonts w:ascii="Times New Roman" w:hAnsi="Times New Roman"/>
        </w:rPr>
        <w:t>The laboratory work will very closely follow the work that Sotelo (2012</w:t>
      </w:r>
      <w:r w:rsidR="00935038">
        <w:rPr>
          <w:rFonts w:ascii="Times New Roman" w:hAnsi="Times New Roman"/>
        </w:rPr>
        <w:t xml:space="preserve">, </w:t>
      </w:r>
      <w:hyperlink r:id="rId15" w:history="1">
        <w:r w:rsidR="00935038" w:rsidRPr="00C20D03">
          <w:rPr>
            <w:rStyle w:val="Hyperlink"/>
            <w:rFonts w:ascii="Times New Roman" w:hAnsi="Times New Roman"/>
          </w:rPr>
          <w:t>https://www.dropbox.com/s/ 5lfcy14q936f5ex/Sotelo%20Thesis.pdf?dl=0</w:t>
        </w:r>
      </w:hyperlink>
      <w:r>
        <w:rPr>
          <w:rFonts w:ascii="Times New Roman" w:hAnsi="Times New Roman"/>
        </w:rPr>
        <w:t>) carried out as part of NCHRP Project 10-84 to evaluate the accuracy, precision</w:t>
      </w:r>
      <w:r w:rsidR="00932749">
        <w:rPr>
          <w:rFonts w:ascii="Times New Roman" w:hAnsi="Times New Roman"/>
        </w:rPr>
        <w:t>,</w:t>
      </w:r>
      <w:r>
        <w:rPr>
          <w:rFonts w:ascii="Times New Roman" w:hAnsi="Times New Roman"/>
        </w:rPr>
        <w:t xml:space="preserve"> and applicability of three moisture content devices (soil density gauge, Purdue TDR, Campbell Scientific DOT 600).  The laboratory testing on each material selected includes:</w:t>
      </w:r>
    </w:p>
    <w:p w14:paraId="3890E2F2" w14:textId="77777777" w:rsidR="00BC176C" w:rsidRDefault="00010210">
      <w:pPr>
        <w:pStyle w:val="ListParagraph"/>
        <w:numPr>
          <w:ilvl w:val="0"/>
          <w:numId w:val="5"/>
        </w:numPr>
        <w:spacing w:before="0" w:after="120" w:line="240" w:lineRule="auto"/>
        <w:jc w:val="both"/>
        <w:rPr>
          <w:rFonts w:ascii="Times New Roman" w:hAnsi="Times New Roman"/>
        </w:rPr>
      </w:pPr>
      <w:r>
        <w:rPr>
          <w:rFonts w:ascii="Times New Roman" w:hAnsi="Times New Roman"/>
        </w:rPr>
        <w:t>Conduction of gradation and Atterberg limits tests on soil samples</w:t>
      </w:r>
    </w:p>
    <w:p w14:paraId="295F35BB" w14:textId="0FE7518E" w:rsidR="00BC176C" w:rsidRDefault="00010210">
      <w:pPr>
        <w:pStyle w:val="ListParagraph"/>
        <w:numPr>
          <w:ilvl w:val="0"/>
          <w:numId w:val="5"/>
        </w:numPr>
        <w:spacing w:before="0" w:after="120" w:line="240" w:lineRule="auto"/>
        <w:jc w:val="both"/>
        <w:rPr>
          <w:rFonts w:ascii="Times New Roman" w:hAnsi="Times New Roman"/>
        </w:rPr>
      </w:pPr>
      <w:r>
        <w:rPr>
          <w:rFonts w:ascii="Times New Roman" w:hAnsi="Times New Roman"/>
        </w:rPr>
        <w:t>Development of moisture-density, moisture-CR (using the lab prototype, moisture modulus (using Free-free- resonant column tests), degree of saturation-CR.  All these tests will be carried out at five different nominal moisture contents of optimum moisture content (OMC, OMC±10% OMC</w:t>
      </w:r>
      <w:r w:rsidR="00932749">
        <w:rPr>
          <w:rFonts w:ascii="Times New Roman" w:hAnsi="Times New Roman"/>
        </w:rPr>
        <w:t>,</w:t>
      </w:r>
      <w:r>
        <w:rPr>
          <w:rFonts w:ascii="Times New Roman" w:hAnsi="Times New Roman"/>
        </w:rPr>
        <w:t xml:space="preserve"> and OMC±20%OMC).  All tests will be carried out in duplicate to assess the repeatability of the results on the same specimens since all tests mentioned are nondestructive.</w:t>
      </w:r>
    </w:p>
    <w:p w14:paraId="449D1C47" w14:textId="77777777" w:rsidR="00BC176C" w:rsidRDefault="00010210">
      <w:pPr>
        <w:pStyle w:val="ListParagraph"/>
        <w:numPr>
          <w:ilvl w:val="0"/>
          <w:numId w:val="5"/>
        </w:numPr>
        <w:spacing w:before="0" w:after="120" w:line="240" w:lineRule="auto"/>
        <w:jc w:val="both"/>
        <w:rPr>
          <w:rFonts w:ascii="Times New Roman" w:hAnsi="Times New Roman"/>
        </w:rPr>
      </w:pPr>
      <w:r>
        <w:rPr>
          <w:rFonts w:ascii="Times New Roman" w:hAnsi="Times New Roman"/>
        </w:rPr>
        <w:t>Preparation of small-scale (24 in. high by 18 in. diameter) specimens (at strictly controlled densities and moisture contents placed in 2 in. lifts.</w:t>
      </w:r>
    </w:p>
    <w:p w14:paraId="5A52A55C" w14:textId="77777777" w:rsidR="00BC176C" w:rsidRDefault="00010210">
      <w:pPr>
        <w:pStyle w:val="ListParagraph"/>
        <w:numPr>
          <w:ilvl w:val="0"/>
          <w:numId w:val="5"/>
        </w:numPr>
        <w:spacing w:before="0" w:after="120" w:line="240" w:lineRule="auto"/>
        <w:jc w:val="both"/>
        <w:rPr>
          <w:rFonts w:ascii="Times New Roman" w:hAnsi="Times New Roman"/>
        </w:rPr>
      </w:pPr>
      <w:r>
        <w:rPr>
          <w:rFonts w:ascii="Times New Roman" w:hAnsi="Times New Roman"/>
        </w:rPr>
        <w:t>Test the specimen with the prototype at least at five horizontal locations at three levels to determine the repeatability.</w:t>
      </w:r>
    </w:p>
    <w:p w14:paraId="2F9EA4E5" w14:textId="77777777" w:rsidR="00BC176C" w:rsidRDefault="00010210">
      <w:pPr>
        <w:pStyle w:val="ListParagraph"/>
        <w:numPr>
          <w:ilvl w:val="0"/>
          <w:numId w:val="5"/>
        </w:numPr>
        <w:spacing w:before="0" w:after="120" w:line="240" w:lineRule="auto"/>
        <w:jc w:val="both"/>
        <w:rPr>
          <w:rFonts w:ascii="Times New Roman" w:hAnsi="Times New Roman"/>
        </w:rPr>
      </w:pPr>
      <w:r>
        <w:rPr>
          <w:rFonts w:ascii="Times New Roman" w:hAnsi="Times New Roman"/>
        </w:rPr>
        <w:t>Compare the moisture contents measured by the prototype with those from oven drying to determine the accuracy.</w:t>
      </w:r>
    </w:p>
    <w:p w14:paraId="7428C34C" w14:textId="77777777" w:rsidR="00BC176C" w:rsidRDefault="00010210">
      <w:pPr>
        <w:pStyle w:val="ListParagraph"/>
        <w:numPr>
          <w:ilvl w:val="0"/>
          <w:numId w:val="5"/>
        </w:numPr>
        <w:spacing w:before="0" w:after="120" w:line="240" w:lineRule="auto"/>
        <w:jc w:val="both"/>
        <w:rPr>
          <w:rFonts w:ascii="Times New Roman" w:hAnsi="Times New Roman"/>
        </w:rPr>
      </w:pPr>
      <w:r>
        <w:rPr>
          <w:rFonts w:ascii="Times New Roman" w:hAnsi="Times New Roman"/>
        </w:rPr>
        <w:t>Develop a database of all test results.</w:t>
      </w:r>
    </w:p>
    <w:p w14:paraId="5AD94035" w14:textId="32601325" w:rsidR="00BC176C" w:rsidRDefault="00010210">
      <w:pPr>
        <w:pStyle w:val="ListParagraph"/>
        <w:numPr>
          <w:ilvl w:val="0"/>
          <w:numId w:val="5"/>
        </w:numPr>
        <w:spacing w:before="0" w:after="120" w:line="240" w:lineRule="auto"/>
        <w:jc w:val="both"/>
        <w:rPr>
          <w:rFonts w:ascii="Times New Roman" w:hAnsi="Times New Roman"/>
        </w:rPr>
      </w:pPr>
      <w:r>
        <w:rPr>
          <w:rFonts w:ascii="Times New Roman" w:hAnsi="Times New Roman"/>
        </w:rPr>
        <w:t xml:space="preserve">Conduct analysis using statistical and process control tools to develop a preliminary operational tolerance, get a sense </w:t>
      </w:r>
      <w:r w:rsidR="00932749">
        <w:rPr>
          <w:rFonts w:ascii="Times New Roman" w:hAnsi="Times New Roman"/>
        </w:rPr>
        <w:t>of</w:t>
      </w:r>
      <w:r>
        <w:rPr>
          <w:rFonts w:ascii="Times New Roman" w:hAnsi="Times New Roman"/>
        </w:rPr>
        <w:t xml:space="preserve"> the overall precision and bias of the device.</w:t>
      </w:r>
    </w:p>
    <w:p w14:paraId="5B8105FF" w14:textId="2ACB320F" w:rsidR="00BC176C" w:rsidRDefault="00010210">
      <w:pPr>
        <w:spacing w:before="0" w:after="120" w:line="240" w:lineRule="auto"/>
        <w:jc w:val="both"/>
        <w:rPr>
          <w:rFonts w:ascii="Times New Roman" w:hAnsi="Times New Roman"/>
        </w:rPr>
      </w:pPr>
      <w:r w:rsidRPr="007742ED">
        <w:rPr>
          <w:rFonts w:ascii="Times New Roman" w:hAnsi="Times New Roman"/>
          <w:b/>
          <w:bCs/>
          <w:i/>
          <w:iCs/>
        </w:rPr>
        <w:t>Task 3: Develop and Test Field Prototype.</w:t>
      </w:r>
      <w:r>
        <w:rPr>
          <w:rFonts w:ascii="Times New Roman" w:hAnsi="Times New Roman"/>
          <w:b/>
          <w:bCs/>
          <w:i/>
          <w:iCs/>
        </w:rPr>
        <w:t xml:space="preserve">  </w:t>
      </w:r>
      <w:r>
        <w:rPr>
          <w:rFonts w:ascii="Times New Roman" w:hAnsi="Times New Roman"/>
        </w:rPr>
        <w:t xml:space="preserve">Concurrent with laboratory testing, a field version of the tool will be developed.  This device will not be ruggedized or professionally packaged for day-to-day use but will be modular for ease of modification.  </w:t>
      </w:r>
    </w:p>
    <w:p w14:paraId="7FCFF22E" w14:textId="77777777" w:rsidR="00BC176C" w:rsidRDefault="00010210">
      <w:pPr>
        <w:spacing w:before="0" w:after="120" w:line="240" w:lineRule="auto"/>
        <w:jc w:val="both"/>
        <w:rPr>
          <w:rFonts w:ascii="Times New Roman" w:hAnsi="Times New Roman"/>
        </w:rPr>
      </w:pPr>
      <w:r>
        <w:rPr>
          <w:rFonts w:ascii="Times New Roman" w:hAnsi="Times New Roman"/>
        </w:rPr>
        <w:t>The last three months of this task will be dedicated to field testing of the field prototype at local sites to debug the system and ensure accuracy. The goals of this activity are the following:</w:t>
      </w:r>
    </w:p>
    <w:p w14:paraId="678ADA27" w14:textId="77777777" w:rsidR="00BC176C" w:rsidRDefault="00010210">
      <w:pPr>
        <w:numPr>
          <w:ilvl w:val="0"/>
          <w:numId w:val="7"/>
        </w:numPr>
        <w:spacing w:before="0" w:after="0" w:line="240" w:lineRule="auto"/>
        <w:jc w:val="both"/>
        <w:rPr>
          <w:rFonts w:ascii="Times New Roman" w:hAnsi="Times New Roman"/>
        </w:rPr>
      </w:pPr>
      <w:r>
        <w:rPr>
          <w:rFonts w:ascii="Times New Roman" w:hAnsi="Times New Roman"/>
        </w:rPr>
        <w:t>to verify the applicability of the results from small-scale and laboratory tests carried out as part of Task 2, and</w:t>
      </w:r>
    </w:p>
    <w:p w14:paraId="54DFE55B" w14:textId="77777777" w:rsidR="00BC176C" w:rsidRDefault="00010210">
      <w:pPr>
        <w:numPr>
          <w:ilvl w:val="0"/>
          <w:numId w:val="7"/>
        </w:numPr>
        <w:spacing w:before="0" w:after="120" w:line="240" w:lineRule="auto"/>
        <w:jc w:val="both"/>
        <w:rPr>
          <w:rFonts w:ascii="Times New Roman" w:hAnsi="Times New Roman"/>
        </w:rPr>
      </w:pPr>
      <w:r>
        <w:rPr>
          <w:rFonts w:ascii="Times New Roman" w:hAnsi="Times New Roman"/>
        </w:rPr>
        <w:t>to establish the variability of the prototype under less controlled condition to delineate the equipment variability (established in Task 2) from site variability</w:t>
      </w:r>
      <w:r w:rsidR="005D789F">
        <w:rPr>
          <w:rFonts w:ascii="Times New Roman" w:hAnsi="Times New Roman"/>
        </w:rPr>
        <w:t>.</w:t>
      </w:r>
    </w:p>
    <w:p w14:paraId="2C6EB012" w14:textId="504C2517" w:rsidR="00BC176C" w:rsidRDefault="005D789F">
      <w:pPr>
        <w:spacing w:before="0" w:after="120" w:line="240" w:lineRule="auto"/>
        <w:jc w:val="both"/>
        <w:rPr>
          <w:rFonts w:ascii="Times New Roman" w:hAnsi="Times New Roman"/>
        </w:rPr>
      </w:pPr>
      <w:r>
        <w:rPr>
          <w:rFonts w:ascii="Times New Roman" w:hAnsi="Times New Roman"/>
        </w:rPr>
        <w:t>A</w:t>
      </w:r>
      <w:r w:rsidR="00010210">
        <w:rPr>
          <w:rFonts w:ascii="Times New Roman" w:hAnsi="Times New Roman"/>
        </w:rPr>
        <w:t>side from the tests enumerated in Task 2, we will carry the following activities at each testbed.</w:t>
      </w:r>
    </w:p>
    <w:p w14:paraId="2D657E7A" w14:textId="77777777" w:rsidR="00BC176C" w:rsidRDefault="00010210">
      <w:pPr>
        <w:numPr>
          <w:ilvl w:val="0"/>
          <w:numId w:val="6"/>
        </w:numPr>
        <w:spacing w:before="0" w:after="0" w:line="240" w:lineRule="auto"/>
        <w:jc w:val="both"/>
        <w:rPr>
          <w:rFonts w:ascii="Times New Roman" w:hAnsi="Times New Roman"/>
        </w:rPr>
      </w:pPr>
      <w:r>
        <w:rPr>
          <w:rFonts w:ascii="Times New Roman" w:hAnsi="Times New Roman"/>
        </w:rPr>
        <w:t>Sample geomaterial from five points at windrow before compaction</w:t>
      </w:r>
    </w:p>
    <w:p w14:paraId="29B1E34A" w14:textId="1437D3AD" w:rsidR="00BC176C" w:rsidRDefault="00010210">
      <w:pPr>
        <w:numPr>
          <w:ilvl w:val="0"/>
          <w:numId w:val="6"/>
        </w:numPr>
        <w:spacing w:before="0" w:after="0" w:line="240" w:lineRule="auto"/>
        <w:jc w:val="both"/>
        <w:rPr>
          <w:rFonts w:ascii="Times New Roman" w:hAnsi="Times New Roman"/>
        </w:rPr>
      </w:pPr>
      <w:r>
        <w:rPr>
          <w:rFonts w:ascii="Times New Roman" w:hAnsi="Times New Roman"/>
        </w:rPr>
        <w:t xml:space="preserve">Monitor the increase in density and modulus of the layer with </w:t>
      </w:r>
      <w:r w:rsidR="00932749">
        <w:rPr>
          <w:rFonts w:ascii="Times New Roman" w:hAnsi="Times New Roman"/>
        </w:rPr>
        <w:t xml:space="preserve">the </w:t>
      </w:r>
      <w:r>
        <w:rPr>
          <w:rFonts w:ascii="Times New Roman" w:hAnsi="Times New Roman"/>
        </w:rPr>
        <w:t xml:space="preserve">number of passes at two points </w:t>
      </w:r>
    </w:p>
    <w:p w14:paraId="286966F9" w14:textId="77777777" w:rsidR="00BC176C" w:rsidRDefault="00010210">
      <w:pPr>
        <w:numPr>
          <w:ilvl w:val="0"/>
          <w:numId w:val="6"/>
        </w:numPr>
        <w:spacing w:before="0" w:after="0" w:line="240" w:lineRule="auto"/>
        <w:jc w:val="both"/>
        <w:rPr>
          <w:rFonts w:ascii="Times New Roman" w:hAnsi="Times New Roman"/>
        </w:rPr>
      </w:pPr>
      <w:r>
        <w:rPr>
          <w:rFonts w:ascii="Times New Roman" w:hAnsi="Times New Roman"/>
        </w:rPr>
        <w:t>Carry continuous measurement with prototype along five lines three times</w:t>
      </w:r>
    </w:p>
    <w:p w14:paraId="6EA0372B" w14:textId="77777777" w:rsidR="00BC176C" w:rsidRDefault="00010210">
      <w:pPr>
        <w:numPr>
          <w:ilvl w:val="0"/>
          <w:numId w:val="6"/>
        </w:numPr>
        <w:spacing w:before="0" w:after="0" w:line="240" w:lineRule="auto"/>
        <w:jc w:val="both"/>
        <w:rPr>
          <w:rFonts w:ascii="Times New Roman" w:hAnsi="Times New Roman"/>
        </w:rPr>
      </w:pPr>
      <w:r>
        <w:rPr>
          <w:rFonts w:ascii="Times New Roman" w:hAnsi="Times New Roman"/>
        </w:rPr>
        <w:lastRenderedPageBreak/>
        <w:t xml:space="preserve">Graphically summarize field data by mapping the spatial variation of moisture measurements </w:t>
      </w:r>
    </w:p>
    <w:p w14:paraId="13716F39" w14:textId="77777777" w:rsidR="00BC176C" w:rsidRDefault="00010210">
      <w:pPr>
        <w:numPr>
          <w:ilvl w:val="0"/>
          <w:numId w:val="6"/>
        </w:numPr>
        <w:spacing w:before="0" w:after="0" w:line="240" w:lineRule="auto"/>
        <w:jc w:val="both"/>
        <w:rPr>
          <w:rFonts w:ascii="Times New Roman" w:hAnsi="Times New Roman"/>
        </w:rPr>
      </w:pPr>
      <w:r>
        <w:rPr>
          <w:rFonts w:ascii="Times New Roman" w:hAnsi="Times New Roman"/>
        </w:rPr>
        <w:t>Test ten points at least three times with the device shortly before and after compaction along with one NDG test at each point</w:t>
      </w:r>
    </w:p>
    <w:p w14:paraId="01C4A844" w14:textId="77777777" w:rsidR="00BC176C" w:rsidRDefault="00010210">
      <w:pPr>
        <w:numPr>
          <w:ilvl w:val="0"/>
          <w:numId w:val="6"/>
        </w:numPr>
        <w:spacing w:before="0" w:after="0" w:line="240" w:lineRule="auto"/>
        <w:jc w:val="both"/>
        <w:rPr>
          <w:rFonts w:ascii="Times New Roman" w:hAnsi="Times New Roman"/>
        </w:rPr>
      </w:pPr>
      <w:r>
        <w:rPr>
          <w:rFonts w:ascii="Times New Roman" w:hAnsi="Times New Roman"/>
        </w:rPr>
        <w:t>Retrieve samples for moisture content from ten points to validate the device’s results.</w:t>
      </w:r>
    </w:p>
    <w:p w14:paraId="7077E1E9" w14:textId="77777777" w:rsidR="00BC176C" w:rsidRDefault="00010210">
      <w:pPr>
        <w:numPr>
          <w:ilvl w:val="0"/>
          <w:numId w:val="6"/>
        </w:numPr>
        <w:spacing w:before="0" w:after="120" w:line="240" w:lineRule="auto"/>
        <w:jc w:val="both"/>
        <w:rPr>
          <w:rFonts w:ascii="Times New Roman" w:hAnsi="Times New Roman"/>
        </w:rPr>
      </w:pPr>
      <w:r>
        <w:rPr>
          <w:rFonts w:ascii="Times New Roman" w:hAnsi="Times New Roman"/>
        </w:rPr>
        <w:t>Analyze field data to ensure that the two goals listed above are met.</w:t>
      </w:r>
    </w:p>
    <w:p w14:paraId="4222A41A" w14:textId="39181A55" w:rsidR="00BC176C" w:rsidRDefault="00010210">
      <w:pPr>
        <w:spacing w:before="0" w:after="120" w:line="240" w:lineRule="auto"/>
        <w:jc w:val="both"/>
        <w:rPr>
          <w:rFonts w:ascii="Times New Roman" w:hAnsi="Times New Roman"/>
        </w:rPr>
      </w:pPr>
      <w:r w:rsidRPr="007742ED">
        <w:rPr>
          <w:rFonts w:ascii="Times New Roman" w:hAnsi="Times New Roman"/>
          <w:b/>
          <w:bCs/>
          <w:i/>
          <w:iCs/>
        </w:rPr>
        <w:t>Task 4: Demonstrate Prototype.</w:t>
      </w:r>
      <w:r>
        <w:rPr>
          <w:rFonts w:ascii="Times New Roman" w:hAnsi="Times New Roman"/>
          <w:b/>
          <w:bCs/>
          <w:i/>
          <w:iCs/>
        </w:rPr>
        <w:t xml:space="preserve">  </w:t>
      </w:r>
      <w:r>
        <w:rPr>
          <w:rFonts w:ascii="Times New Roman" w:hAnsi="Times New Roman"/>
        </w:rPr>
        <w:t>Upon satisfactory testing of the pr</w:t>
      </w:r>
      <w:r w:rsidR="00932749">
        <w:rPr>
          <w:rFonts w:ascii="Times New Roman" w:hAnsi="Times New Roman"/>
        </w:rPr>
        <w:t>ot</w:t>
      </w:r>
      <w:r>
        <w:rPr>
          <w:rFonts w:ascii="Times New Roman" w:hAnsi="Times New Roman"/>
        </w:rPr>
        <w:t>otype, the device will be demonstrated to the NRRA partners at a site either at MnROAD or any other location selected by the panel.  To attract a wide audience, the demonstration can be arranged concurrent</w:t>
      </w:r>
      <w:r w:rsidR="00932749">
        <w:rPr>
          <w:rFonts w:ascii="Times New Roman" w:hAnsi="Times New Roman"/>
        </w:rPr>
        <w:t>ly</w:t>
      </w:r>
      <w:r>
        <w:rPr>
          <w:rFonts w:ascii="Times New Roman" w:hAnsi="Times New Roman"/>
        </w:rPr>
        <w:t xml:space="preserve"> with one of the annual meetings of NRRA.  This demonstration will be carried out along with an extensive presentation to obtain feedback for future modifications and improvements of the prototype.</w:t>
      </w:r>
    </w:p>
    <w:p w14:paraId="45FE5EF9" w14:textId="77777777" w:rsidR="00BC176C" w:rsidRDefault="00010210">
      <w:pPr>
        <w:spacing w:before="0" w:after="120" w:line="240" w:lineRule="auto"/>
        <w:jc w:val="both"/>
        <w:rPr>
          <w:rFonts w:ascii="Times New Roman" w:hAnsi="Times New Roman"/>
          <w:b/>
          <w:bCs/>
          <w:i/>
          <w:iCs/>
        </w:rPr>
      </w:pPr>
      <w:r w:rsidRPr="007742ED">
        <w:rPr>
          <w:rFonts w:ascii="Times New Roman" w:hAnsi="Times New Roman"/>
          <w:b/>
          <w:bCs/>
          <w:i/>
          <w:iCs/>
        </w:rPr>
        <w:t>Task 5: Communicate Results of Project</w:t>
      </w:r>
      <w:r w:rsidRPr="0095395C">
        <w:rPr>
          <w:rFonts w:ascii="Times New Roman" w:hAnsi="Times New Roman"/>
          <w:i/>
          <w:iCs/>
        </w:rPr>
        <w:t>.</w:t>
      </w:r>
      <w:r>
        <w:rPr>
          <w:rFonts w:ascii="Times New Roman" w:hAnsi="Times New Roman"/>
          <w:b/>
          <w:bCs/>
          <w:i/>
          <w:iCs/>
        </w:rPr>
        <w:t xml:space="preserve">  </w:t>
      </w:r>
      <w:r>
        <w:rPr>
          <w:rFonts w:ascii="Times New Roman" w:hAnsi="Times New Roman"/>
        </w:rPr>
        <w:t xml:space="preserve">Upon completion of the project, our team will provide a draft project final report summarizing the results, findings, conclusions, and recommendations of the research. The report will comply with the NRRA requirements for style and organization. The final report will be print-ready and web-publishable formats and will be accompanied by: </w:t>
      </w:r>
    </w:p>
    <w:p w14:paraId="4A8E5504" w14:textId="77777777" w:rsidR="00BC176C" w:rsidRDefault="00010210">
      <w:pPr>
        <w:pStyle w:val="ListParagraph"/>
        <w:numPr>
          <w:ilvl w:val="0"/>
          <w:numId w:val="8"/>
        </w:numPr>
        <w:spacing w:before="0" w:after="0" w:line="240" w:lineRule="auto"/>
        <w:ind w:left="450" w:hanging="450"/>
        <w:jc w:val="both"/>
        <w:rPr>
          <w:rFonts w:ascii="Times New Roman" w:hAnsi="Times New Roman"/>
        </w:rPr>
      </w:pPr>
      <w:r>
        <w:rPr>
          <w:rFonts w:ascii="Times New Roman" w:hAnsi="Times New Roman"/>
        </w:rPr>
        <w:t xml:space="preserve">An executive summary (5 to 10 pages); </w:t>
      </w:r>
    </w:p>
    <w:p w14:paraId="51605D22" w14:textId="6CB6FA67" w:rsidR="00BC176C" w:rsidRDefault="00010210">
      <w:pPr>
        <w:pStyle w:val="ListParagraph"/>
        <w:numPr>
          <w:ilvl w:val="0"/>
          <w:numId w:val="8"/>
        </w:numPr>
        <w:spacing w:before="0" w:after="0" w:line="240" w:lineRule="auto"/>
        <w:ind w:left="450" w:hanging="450"/>
        <w:jc w:val="both"/>
        <w:rPr>
          <w:rFonts w:ascii="Times New Roman" w:hAnsi="Times New Roman"/>
        </w:rPr>
      </w:pPr>
      <w:r>
        <w:rPr>
          <w:rFonts w:ascii="Times New Roman" w:hAnsi="Times New Roman"/>
        </w:rPr>
        <w:t>A short video demonstrating the concept, the design</w:t>
      </w:r>
      <w:r w:rsidR="00932749">
        <w:rPr>
          <w:rFonts w:ascii="Times New Roman" w:hAnsi="Times New Roman"/>
        </w:rPr>
        <w:t>,</w:t>
      </w:r>
      <w:r>
        <w:rPr>
          <w:rFonts w:ascii="Times New Roman" w:hAnsi="Times New Roman"/>
        </w:rPr>
        <w:t xml:space="preserve"> and the results of the prototype</w:t>
      </w:r>
    </w:p>
    <w:p w14:paraId="78E1C3A8" w14:textId="77777777" w:rsidR="00BC176C" w:rsidRDefault="00010210">
      <w:pPr>
        <w:pStyle w:val="ListParagraph"/>
        <w:numPr>
          <w:ilvl w:val="0"/>
          <w:numId w:val="8"/>
        </w:numPr>
        <w:spacing w:before="0" w:after="0" w:line="240" w:lineRule="auto"/>
        <w:ind w:left="450" w:hanging="450"/>
        <w:jc w:val="both"/>
        <w:rPr>
          <w:rFonts w:ascii="Times New Roman" w:hAnsi="Times New Roman"/>
        </w:rPr>
      </w:pPr>
      <w:r>
        <w:rPr>
          <w:rFonts w:ascii="Times New Roman" w:hAnsi="Times New Roman"/>
        </w:rPr>
        <w:t xml:space="preserve">An implementation plan for improving and deploying the products of the research; </w:t>
      </w:r>
    </w:p>
    <w:p w14:paraId="081BE9DD" w14:textId="77777777" w:rsidR="00BC176C" w:rsidRDefault="00010210">
      <w:pPr>
        <w:pStyle w:val="ListParagraph"/>
        <w:numPr>
          <w:ilvl w:val="0"/>
          <w:numId w:val="8"/>
        </w:numPr>
        <w:spacing w:before="0" w:after="120" w:line="240" w:lineRule="auto"/>
        <w:ind w:left="450" w:hanging="450"/>
        <w:jc w:val="both"/>
        <w:rPr>
          <w:rFonts w:ascii="Times New Roman" w:hAnsi="Times New Roman"/>
        </w:rPr>
      </w:pPr>
      <w:r>
        <w:rPr>
          <w:rFonts w:ascii="Times New Roman" w:hAnsi="Times New Roman"/>
        </w:rPr>
        <w:t xml:space="preserve">A draft specification for compaction of geomaterials and supporting test methods in standard AASHTO format; </w:t>
      </w:r>
    </w:p>
    <w:p w14:paraId="31E77111" w14:textId="77777777" w:rsidR="00BC176C" w:rsidRDefault="00010210">
      <w:pPr>
        <w:pStyle w:val="ListParagraph"/>
        <w:numPr>
          <w:ilvl w:val="0"/>
          <w:numId w:val="8"/>
        </w:numPr>
        <w:spacing w:before="0" w:after="120" w:line="240" w:lineRule="auto"/>
        <w:ind w:left="450" w:hanging="450"/>
        <w:jc w:val="both"/>
        <w:rPr>
          <w:rFonts w:ascii="Times New Roman" w:hAnsi="Times New Roman"/>
        </w:rPr>
      </w:pPr>
      <w:r>
        <w:rPr>
          <w:rFonts w:ascii="Times New Roman" w:hAnsi="Times New Roman"/>
        </w:rPr>
        <w:t xml:space="preserve">An informational webinar to the members of NRRA </w:t>
      </w:r>
    </w:p>
    <w:p w14:paraId="16E97258" w14:textId="42B14538" w:rsidR="00BC176C" w:rsidRDefault="00010210">
      <w:pPr>
        <w:spacing w:before="240" w:after="120" w:line="240" w:lineRule="auto"/>
        <w:jc w:val="both"/>
        <w:rPr>
          <w:rFonts w:ascii="Times New Roman" w:hAnsi="Times New Roman"/>
        </w:rPr>
      </w:pPr>
      <w:r w:rsidRPr="007742ED">
        <w:rPr>
          <w:rFonts w:ascii="Times New Roman" w:hAnsi="Times New Roman"/>
          <w:b/>
          <w:bCs/>
          <w:color w:val="003865"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Schedule: </w:t>
      </w:r>
      <w:r>
        <w:rPr>
          <w:rFonts w:ascii="Times New Roman" w:hAnsi="Times New Roman"/>
        </w:rPr>
        <w:t xml:space="preserve"> The research team is requesting an 18-month time frame as shown below. Regular online meetings are proposed to ensure feedback from the panel to ensure </w:t>
      </w:r>
      <w:r w:rsidR="00932749">
        <w:rPr>
          <w:rFonts w:ascii="Times New Roman" w:hAnsi="Times New Roman"/>
        </w:rPr>
        <w:t xml:space="preserve">the </w:t>
      </w:r>
      <w:r>
        <w:rPr>
          <w:rFonts w:ascii="Times New Roman" w:hAnsi="Times New Roman"/>
        </w:rPr>
        <w:t>practicality of the outcomes.</w:t>
      </w:r>
    </w:p>
    <w:p w14:paraId="14D4534B" w14:textId="1FB03987" w:rsidR="00BC176C" w:rsidRDefault="00932749">
      <w:pPr>
        <w:spacing w:before="240" w:after="120" w:line="240" w:lineRule="auto"/>
        <w:jc w:val="both"/>
        <w:rPr>
          <w:rFonts w:ascii="Times New Roman" w:hAnsi="Times New Roman"/>
          <w:b/>
        </w:rPr>
      </w:pPr>
      <w:r w:rsidRPr="00932749">
        <w:drawing>
          <wp:inline distT="0" distB="0" distL="0" distR="0" wp14:anchorId="35C17B70" wp14:editId="052EE386">
            <wp:extent cx="5943600" cy="1171575"/>
            <wp:effectExtent l="0" t="0" r="0"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43600" cy="1171575"/>
                    </a:xfrm>
                    <a:prstGeom prst="rect">
                      <a:avLst/>
                    </a:prstGeom>
                    <a:noFill/>
                    <a:ln>
                      <a:noFill/>
                    </a:ln>
                  </pic:spPr>
                </pic:pic>
              </a:graphicData>
            </a:graphic>
          </wp:inline>
        </w:drawing>
      </w:r>
      <w:r w:rsidR="00010210">
        <w:rPr>
          <w:rFonts w:ascii="Times New Roman" w:hAnsi="Times New Roman"/>
          <w:b/>
        </w:rPr>
        <w:t xml:space="preserve"> </w:t>
      </w:r>
    </w:p>
    <w:p w14:paraId="308C1600" w14:textId="5A9725A2" w:rsidR="00BC176C" w:rsidRDefault="00010210">
      <w:pPr>
        <w:spacing w:before="240" w:after="120" w:line="240" w:lineRule="auto"/>
        <w:jc w:val="both"/>
        <w:rPr>
          <w:rFonts w:ascii="Times New Roman" w:hAnsi="Times New Roman"/>
        </w:rPr>
      </w:pPr>
      <w:r w:rsidRPr="007742ED">
        <w:rPr>
          <w:rFonts w:ascii="Times New Roman" w:hAnsi="Times New Roman"/>
          <w:b/>
          <w:bCs/>
          <w:color w:val="003865"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Budget</w:t>
      </w:r>
      <w:r>
        <w:rPr>
          <w:rFonts w:ascii="Times New Roman" w:hAnsi="Times New Roman"/>
          <w:b/>
        </w:rPr>
        <w:t>:</w:t>
      </w:r>
      <w:r>
        <w:rPr>
          <w:rFonts w:ascii="Times New Roman" w:hAnsi="Times New Roman"/>
        </w:rPr>
        <w:t xml:space="preserve"> Table 2 contains the details of the budget requested.  A total of $100,000 are requested from NRRA.  Most of the budget is allocated to a graduate student to </w:t>
      </w:r>
      <w:r w:rsidR="00932749">
        <w:rPr>
          <w:rFonts w:ascii="Times New Roman" w:hAnsi="Times New Roman"/>
        </w:rPr>
        <w:t>evaluate</w:t>
      </w:r>
      <w:r>
        <w:rPr>
          <w:rFonts w:ascii="Times New Roman" w:hAnsi="Times New Roman"/>
        </w:rPr>
        <w:t xml:space="preserve"> the prototype.  Dr. Nazarian, as the PI, has been budget for about </w:t>
      </w:r>
      <w:r w:rsidR="00055F51">
        <w:rPr>
          <w:rFonts w:ascii="Times New Roman" w:hAnsi="Times New Roman"/>
        </w:rPr>
        <w:t xml:space="preserve">only </w:t>
      </w:r>
      <w:r>
        <w:rPr>
          <w:rFonts w:ascii="Times New Roman" w:hAnsi="Times New Roman"/>
        </w:rPr>
        <w:t xml:space="preserve">70 hours to manage this project.  The Department of Civil Engineering has dedicated </w:t>
      </w:r>
      <w:r w:rsidR="00932749">
        <w:rPr>
          <w:rFonts w:ascii="Times New Roman" w:hAnsi="Times New Roman"/>
        </w:rPr>
        <w:t xml:space="preserve">an </w:t>
      </w:r>
      <w:r w:rsidR="00D90C12">
        <w:rPr>
          <w:rFonts w:ascii="Times New Roman" w:hAnsi="Times New Roman"/>
        </w:rPr>
        <w:t xml:space="preserve">additional </w:t>
      </w:r>
      <w:r>
        <w:rPr>
          <w:rFonts w:ascii="Times New Roman" w:hAnsi="Times New Roman"/>
        </w:rPr>
        <w:t xml:space="preserve">15% of Dr. Nazarian’s time to this project as </w:t>
      </w:r>
      <w:r w:rsidR="00932749">
        <w:rPr>
          <w:rFonts w:ascii="Times New Roman" w:hAnsi="Times New Roman"/>
        </w:rPr>
        <w:t xml:space="preserve">a </w:t>
      </w:r>
      <w:r w:rsidR="00055F51">
        <w:rPr>
          <w:rFonts w:ascii="Times New Roman" w:hAnsi="Times New Roman"/>
        </w:rPr>
        <w:t xml:space="preserve">cost share </w:t>
      </w:r>
      <w:r w:rsidR="00D90C12">
        <w:rPr>
          <w:rFonts w:ascii="Times New Roman" w:hAnsi="Times New Roman"/>
        </w:rPr>
        <w:t>of $51,626 along with an undergraduate research assistant for one semester at an estimated cost of $</w:t>
      </w:r>
      <w:r w:rsidR="00733C6A">
        <w:rPr>
          <w:rFonts w:ascii="Times New Roman" w:hAnsi="Times New Roman"/>
        </w:rPr>
        <w:t>3225.</w:t>
      </w:r>
      <w:r>
        <w:rPr>
          <w:rFonts w:ascii="Times New Roman" w:hAnsi="Times New Roman"/>
        </w:rPr>
        <w:t xml:space="preserve">  As discussed in the partnership section, Dr. Mark Baker will join the team as a consultant.  He has been budgeted for $10,000 from NRRA funds.  In turn, Dr. Baker </w:t>
      </w:r>
      <w:r w:rsidR="00DD2900">
        <w:rPr>
          <w:rFonts w:ascii="Times New Roman" w:hAnsi="Times New Roman"/>
        </w:rPr>
        <w:t>ha</w:t>
      </w:r>
      <w:r w:rsidR="00932749">
        <w:rPr>
          <w:rFonts w:ascii="Times New Roman" w:hAnsi="Times New Roman"/>
        </w:rPr>
        <w:t>s</w:t>
      </w:r>
      <w:r>
        <w:rPr>
          <w:rFonts w:ascii="Times New Roman" w:hAnsi="Times New Roman"/>
        </w:rPr>
        <w:t xml:space="preserve"> provide</w:t>
      </w:r>
      <w:r w:rsidR="00DD2900">
        <w:rPr>
          <w:rFonts w:ascii="Times New Roman" w:hAnsi="Times New Roman"/>
        </w:rPr>
        <w:t>d</w:t>
      </w:r>
      <w:r>
        <w:rPr>
          <w:rFonts w:ascii="Times New Roman" w:hAnsi="Times New Roman"/>
        </w:rPr>
        <w:t xml:space="preserve"> </w:t>
      </w:r>
      <w:r w:rsidR="00DD2900">
        <w:rPr>
          <w:rFonts w:ascii="Times New Roman" w:hAnsi="Times New Roman"/>
        </w:rPr>
        <w:t>70</w:t>
      </w:r>
      <w:r>
        <w:rPr>
          <w:rFonts w:ascii="Times New Roman" w:hAnsi="Times New Roman"/>
        </w:rPr>
        <w:t xml:space="preserve"> hours to the project as matching funds, along with the software and hardware required for this project</w:t>
      </w:r>
      <w:r w:rsidR="00DD2900">
        <w:rPr>
          <w:rFonts w:ascii="Times New Roman" w:hAnsi="Times New Roman"/>
        </w:rPr>
        <w:t xml:space="preserve">.  Dr. Baker will absorb the cost of developing the prototypes estimated as </w:t>
      </w:r>
      <w:r w:rsidR="00CF4E5E">
        <w:rPr>
          <w:rFonts w:ascii="Times New Roman" w:hAnsi="Times New Roman"/>
        </w:rPr>
        <w:t>at least $10,000</w:t>
      </w:r>
      <w:r>
        <w:rPr>
          <w:rFonts w:ascii="Times New Roman" w:hAnsi="Times New Roman"/>
        </w:rPr>
        <w:t xml:space="preserve">.  </w:t>
      </w:r>
      <w:r w:rsidR="00CF4E5E">
        <w:rPr>
          <w:rFonts w:ascii="Times New Roman" w:hAnsi="Times New Roman"/>
        </w:rPr>
        <w:t xml:space="preserve">As such, the matching funds exceeds the 20% requested by NRRA.  </w:t>
      </w:r>
      <w:r>
        <w:rPr>
          <w:rFonts w:ascii="Times New Roman" w:hAnsi="Times New Roman"/>
        </w:rPr>
        <w:t>An estimated $2,800 has been allocated for project-related travel and $2,187 towards exp</w:t>
      </w:r>
      <w:r w:rsidR="00932749">
        <w:rPr>
          <w:rFonts w:ascii="Times New Roman" w:hAnsi="Times New Roman"/>
        </w:rPr>
        <w:t>e</w:t>
      </w:r>
      <w:r>
        <w:rPr>
          <w:rFonts w:ascii="Times New Roman" w:hAnsi="Times New Roman"/>
        </w:rPr>
        <w:t>ndable supplies and publication costs.</w:t>
      </w:r>
    </w:p>
    <w:p w14:paraId="0934C8DB" w14:textId="77777777" w:rsidR="00BC176C" w:rsidRDefault="00010210" w:rsidP="002B2BFE">
      <w:pPr>
        <w:spacing w:before="0" w:after="120" w:line="240" w:lineRule="auto"/>
        <w:jc w:val="both"/>
        <w:rPr>
          <w:rFonts w:ascii="Times New Roman" w:hAnsi="Times New Roman"/>
        </w:rPr>
      </w:pPr>
      <w:r>
        <w:br w:type="page"/>
      </w:r>
    </w:p>
    <w:p w14:paraId="490A3EA4" w14:textId="77777777" w:rsidR="00BC176C" w:rsidRDefault="00010210">
      <w:pPr>
        <w:spacing w:before="0" w:after="0" w:line="240" w:lineRule="auto"/>
        <w:jc w:val="center"/>
        <w:rPr>
          <w:rFonts w:ascii="Times New Roman" w:hAnsi="Times New Roman"/>
          <w:b/>
        </w:rPr>
      </w:pPr>
      <w:r>
        <w:rPr>
          <w:rFonts w:ascii="Times New Roman" w:hAnsi="Times New Roman"/>
          <w:b/>
        </w:rPr>
        <w:lastRenderedPageBreak/>
        <w:t>Table 2 – Detailed Budget</w:t>
      </w:r>
    </w:p>
    <w:p w14:paraId="2912058D" w14:textId="002685CC" w:rsidR="00BC176C" w:rsidRDefault="00E569B8">
      <w:pPr>
        <w:spacing w:before="0" w:after="0" w:line="240" w:lineRule="auto"/>
        <w:jc w:val="center"/>
        <w:rPr>
          <w:rFonts w:ascii="Times New Roman" w:hAnsi="Times New Roman"/>
          <w:b/>
        </w:rPr>
      </w:pPr>
      <w:r w:rsidRPr="00E569B8">
        <w:rPr>
          <w:noProof/>
        </w:rPr>
        <w:drawing>
          <wp:inline distT="0" distB="0" distL="0" distR="0" wp14:anchorId="0E5B4C06" wp14:editId="217B417B">
            <wp:extent cx="5943600" cy="583819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43600" cy="5838190"/>
                    </a:xfrm>
                    <a:prstGeom prst="rect">
                      <a:avLst/>
                    </a:prstGeom>
                    <a:noFill/>
                    <a:ln>
                      <a:noFill/>
                    </a:ln>
                  </pic:spPr>
                </pic:pic>
              </a:graphicData>
            </a:graphic>
          </wp:inline>
        </w:drawing>
      </w:r>
    </w:p>
    <w:p w14:paraId="2CAEAB04" w14:textId="77777777" w:rsidR="008D3BBF" w:rsidRDefault="008D3BBF" w:rsidP="0095395C">
      <w:pPr>
        <w:spacing w:before="0" w:after="120" w:line="240" w:lineRule="auto"/>
        <w:jc w:val="both"/>
        <w:rPr>
          <w:rFonts w:ascii="Times New Roman" w:hAnsi="Times New Roman"/>
          <w:b/>
          <w:bCs/>
          <w:color w:val="003865"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36BC23F" w14:textId="738B9DFA" w:rsidR="00733C6A" w:rsidRDefault="00733C6A" w:rsidP="0095395C">
      <w:pPr>
        <w:spacing w:before="0" w:after="120" w:line="240" w:lineRule="auto"/>
        <w:jc w:val="both"/>
        <w:rPr>
          <w:rFonts w:ascii="Times New Roman" w:hAnsi="Times New Roman"/>
        </w:rPr>
      </w:pPr>
      <w:r w:rsidRPr="007742ED">
        <w:rPr>
          <w:rFonts w:ascii="Times New Roman" w:hAnsi="Times New Roman"/>
          <w:b/>
          <w:bCs/>
          <w:color w:val="003865"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Partnerships:</w:t>
      </w:r>
      <w:r>
        <w:rPr>
          <w:rFonts w:ascii="Times New Roman" w:hAnsi="Times New Roman"/>
        </w:rPr>
        <w:t xml:space="preserve">  UTEP team will partner with Dr. Mark Baker.  </w:t>
      </w:r>
      <w:r w:rsidRPr="002B2BFE">
        <w:rPr>
          <w:rFonts w:ascii="Times New Roman" w:hAnsi="Times New Roman"/>
        </w:rPr>
        <w:t xml:space="preserve">Dr. Nazarian is the Director of the Center for Transportation Infrastructure Systems at UTEP.  He has more than 35 years of experience in the areas of materials and nondestructive testing as related to geotechnical and transportation infrastructure.  </w:t>
      </w:r>
      <w:r>
        <w:rPr>
          <w:rFonts w:ascii="Times New Roman" w:hAnsi="Times New Roman"/>
        </w:rPr>
        <w:t>H</w:t>
      </w:r>
      <w:r w:rsidRPr="002B2BFE">
        <w:rPr>
          <w:rFonts w:ascii="Times New Roman" w:hAnsi="Times New Roman"/>
        </w:rPr>
        <w:t>e has significantly contributed to the body of knowledge in construction, quality management</w:t>
      </w:r>
      <w:r w:rsidR="00932749">
        <w:rPr>
          <w:rFonts w:ascii="Times New Roman" w:hAnsi="Times New Roman"/>
        </w:rPr>
        <w:t>,</w:t>
      </w:r>
      <w:r w:rsidRPr="002B2BFE">
        <w:rPr>
          <w:rFonts w:ascii="Times New Roman" w:hAnsi="Times New Roman"/>
        </w:rPr>
        <w:t xml:space="preserve"> and mechanistic characterization of earthwork using innovative technologies such as the Intelligent Compaction. </w:t>
      </w:r>
    </w:p>
    <w:p w14:paraId="4807C46D" w14:textId="5F1B437F" w:rsidR="00BC176C" w:rsidRDefault="00010210" w:rsidP="0095395C">
      <w:pPr>
        <w:spacing w:before="0" w:after="120" w:line="240" w:lineRule="auto"/>
        <w:jc w:val="both"/>
        <w:rPr>
          <w:rFonts w:ascii="Times New Roman" w:hAnsi="Times New Roman"/>
        </w:rPr>
      </w:pPr>
      <w:r>
        <w:rPr>
          <w:rFonts w:ascii="Times New Roman" w:hAnsi="Times New Roman"/>
        </w:rPr>
        <w:t>Dr. Baker’s career direction was set by an electrical engineering degree, then focused by two years as a field engineer with Schlumberger in S.E. Asia, repairing, operating, and interpreting some of the most sophisticated and well-engineered geophysical instruments of the time. During an M.S. at Purdue, he designed, built</w:t>
      </w:r>
      <w:r w:rsidR="00932749">
        <w:rPr>
          <w:rFonts w:ascii="Times New Roman" w:hAnsi="Times New Roman"/>
        </w:rPr>
        <w:t>,</w:t>
      </w:r>
      <w:r>
        <w:rPr>
          <w:rFonts w:ascii="Times New Roman" w:hAnsi="Times New Roman"/>
        </w:rPr>
        <w:t xml:space="preserve"> and ran surveys with refraction seismic equipment, and reverse-engineered every piece of geophysical equipment in the department, documenting how it failed to measure what was promised. The following year at Keck, he redesigned 6 old instruments and developed two new products for hydrogeologic </w:t>
      </w:r>
      <w:r>
        <w:rPr>
          <w:rFonts w:ascii="Times New Roman" w:hAnsi="Times New Roman"/>
        </w:rPr>
        <w:lastRenderedPageBreak/>
        <w:t>investigations. In the next five years, as a cog in the Exxon Lab, new designs included a hydraulic vibrator, induction</w:t>
      </w:r>
      <w:r w:rsidR="00932749">
        <w:rPr>
          <w:rFonts w:ascii="Times New Roman" w:hAnsi="Times New Roman"/>
        </w:rPr>
        <w:t>,</w:t>
      </w:r>
      <w:r>
        <w:rPr>
          <w:rFonts w:ascii="Times New Roman" w:hAnsi="Times New Roman"/>
        </w:rPr>
        <w:t xml:space="preserve"> and gamma logging tools for coal mine roof-bolt holes, lab complex resistivity, and natural magnetic field measurements. At UTEP Dr. Baker was diverted from electrical methods by collaboration with Dr. Nazarian in developing the trailer and portable seismic pavement analyzer, resulting in a “best new product” award from TxDOT in 1997.  Dr. Baker redesigned acoustic arrays for Rutgers</w:t>
      </w:r>
      <w:r w:rsidR="005D789F">
        <w:rPr>
          <w:rFonts w:ascii="Times New Roman" w:hAnsi="Times New Roman"/>
        </w:rPr>
        <w:t>’s</w:t>
      </w:r>
      <w:r>
        <w:rPr>
          <w:rFonts w:ascii="Times New Roman" w:hAnsi="Times New Roman"/>
        </w:rPr>
        <w:t xml:space="preserve"> bridge deck testing robot, leading to an ASCE Charles Pankow </w:t>
      </w:r>
      <w:r w:rsidR="00932749">
        <w:rPr>
          <w:rFonts w:ascii="Times New Roman" w:hAnsi="Times New Roman"/>
        </w:rPr>
        <w:t>A</w:t>
      </w:r>
      <w:r>
        <w:rPr>
          <w:rFonts w:ascii="Times New Roman" w:hAnsi="Times New Roman"/>
        </w:rPr>
        <w:t xml:space="preserve">ward for innovation in 2014. </w:t>
      </w:r>
    </w:p>
    <w:p w14:paraId="6D0765C2" w14:textId="66288375" w:rsidR="00BC176C" w:rsidRDefault="00010210">
      <w:pPr>
        <w:spacing w:before="240" w:after="120" w:line="240" w:lineRule="auto"/>
        <w:jc w:val="both"/>
        <w:rPr>
          <w:rFonts w:ascii="Times New Roman" w:hAnsi="Times New Roman"/>
        </w:rPr>
      </w:pPr>
      <w:r w:rsidRPr="007742ED">
        <w:rPr>
          <w:rFonts w:ascii="Times New Roman" w:hAnsi="Times New Roman"/>
          <w:b/>
          <w:bCs/>
          <w:color w:val="003865"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References</w:t>
      </w:r>
    </w:p>
    <w:p w14:paraId="4FD7AD59" w14:textId="5F13AF64" w:rsidR="00BC176C" w:rsidRDefault="00010210">
      <w:pPr>
        <w:pStyle w:val="ListParagraph"/>
        <w:numPr>
          <w:ilvl w:val="0"/>
          <w:numId w:val="1"/>
        </w:numPr>
        <w:spacing w:before="0" w:after="0" w:line="240" w:lineRule="auto"/>
        <w:jc w:val="both"/>
        <w:rPr>
          <w:rFonts w:ascii="Times New Roman" w:hAnsi="Times New Roman"/>
        </w:rPr>
      </w:pPr>
      <w:r>
        <w:rPr>
          <w:rFonts w:ascii="Times New Roman" w:hAnsi="Times New Roman"/>
        </w:rPr>
        <w:t>de Lima, O</w:t>
      </w:r>
      <w:r w:rsidR="00932749">
        <w:rPr>
          <w:rFonts w:ascii="Times New Roman" w:hAnsi="Times New Roman"/>
        </w:rPr>
        <w:t xml:space="preserve">. </w:t>
      </w:r>
      <w:r>
        <w:rPr>
          <w:rFonts w:ascii="Times New Roman" w:hAnsi="Times New Roman"/>
        </w:rPr>
        <w:t>A. L.</w:t>
      </w:r>
      <w:r w:rsidR="00932749">
        <w:rPr>
          <w:rFonts w:ascii="Times New Roman" w:hAnsi="Times New Roman"/>
        </w:rPr>
        <w:t>,</w:t>
      </w:r>
      <w:r>
        <w:rPr>
          <w:rFonts w:ascii="Times New Roman" w:hAnsi="Times New Roman"/>
        </w:rPr>
        <w:t xml:space="preserve"> and Sharma, M. M., “A Generalized Maxwell-Wagner Theory for Membrane Polarization in Shaly Sands”, Geophysics, v57,  n3, Mar 1992; pp. 431-440.</w:t>
      </w:r>
    </w:p>
    <w:p w14:paraId="20222280" w14:textId="77777777" w:rsidR="00BC176C" w:rsidRDefault="00010210">
      <w:pPr>
        <w:pStyle w:val="ListParagraph"/>
        <w:numPr>
          <w:ilvl w:val="0"/>
          <w:numId w:val="1"/>
        </w:numPr>
        <w:spacing w:before="0" w:after="0" w:line="240" w:lineRule="auto"/>
        <w:jc w:val="both"/>
        <w:rPr>
          <w:rFonts w:ascii="Times New Roman" w:hAnsi="Times New Roman"/>
        </w:rPr>
      </w:pPr>
      <w:r>
        <w:rPr>
          <w:rFonts w:ascii="Times New Roman" w:hAnsi="Times New Roman"/>
          <w:color w:val="222222"/>
          <w:shd w:val="clear" w:color="auto" w:fill="FFFFFF"/>
        </w:rPr>
        <w:t>Evett, S. R., Heng, L. K., Moutonnet, P., and Nguyen, M. L. 2008. “Field estimation of soil water content: A practical guide to methods, instrumentation, and sensor technology.” IAEA: Vienna.</w:t>
      </w:r>
    </w:p>
    <w:p w14:paraId="589242F1" w14:textId="7714A7A7" w:rsidR="00BC176C" w:rsidRDefault="00010210">
      <w:pPr>
        <w:pStyle w:val="ListParagraph"/>
        <w:numPr>
          <w:ilvl w:val="0"/>
          <w:numId w:val="1"/>
        </w:numPr>
        <w:spacing w:before="0" w:after="0" w:line="240" w:lineRule="auto"/>
        <w:jc w:val="both"/>
        <w:rPr>
          <w:rFonts w:ascii="Times New Roman" w:hAnsi="Times New Roman"/>
        </w:rPr>
      </w:pPr>
      <w:r>
        <w:rPr>
          <w:rFonts w:ascii="Times New Roman" w:hAnsi="Times New Roman"/>
        </w:rPr>
        <w:t>Keller, G. V.</w:t>
      </w:r>
      <w:r w:rsidR="00932749">
        <w:rPr>
          <w:rFonts w:ascii="Times New Roman" w:hAnsi="Times New Roman"/>
        </w:rPr>
        <w:t>,</w:t>
      </w:r>
      <w:r>
        <w:rPr>
          <w:rFonts w:ascii="Times New Roman" w:hAnsi="Times New Roman"/>
        </w:rPr>
        <w:t xml:space="preserve"> and Frischknecht, F. C., 1966, “Electrical Methods in Geophysical Prospecting”, Elsevier Science Ltd., 512 p.</w:t>
      </w:r>
    </w:p>
    <w:p w14:paraId="7E1F0B76" w14:textId="77777777" w:rsidR="00BC176C" w:rsidRDefault="00010210">
      <w:pPr>
        <w:pStyle w:val="ListParagraph"/>
        <w:numPr>
          <w:ilvl w:val="0"/>
          <w:numId w:val="1"/>
        </w:numPr>
        <w:spacing w:before="0" w:after="0" w:line="240" w:lineRule="auto"/>
        <w:jc w:val="both"/>
        <w:rPr>
          <w:rFonts w:ascii="Times New Roman" w:hAnsi="Times New Roman"/>
        </w:rPr>
      </w:pPr>
      <w:r>
        <w:rPr>
          <w:rFonts w:ascii="Times New Roman" w:hAnsi="Times New Roman"/>
        </w:rPr>
        <w:t>Knight, R., 1991, “Hysteresis in Electrical Resistivity of Partially Saturated Sandstone,” Geophysics, v56, n12, pp. 2139-2147.</w:t>
      </w:r>
    </w:p>
    <w:p w14:paraId="0807AE00" w14:textId="77777777" w:rsidR="00BC176C" w:rsidRPr="007742ED" w:rsidRDefault="00010210">
      <w:pPr>
        <w:pStyle w:val="ListParagraph"/>
        <w:numPr>
          <w:ilvl w:val="0"/>
          <w:numId w:val="1"/>
        </w:numPr>
        <w:spacing w:before="0" w:after="0" w:line="240" w:lineRule="auto"/>
        <w:jc w:val="both"/>
        <w:rPr>
          <w:rFonts w:ascii="Times New Roman" w:hAnsi="Times New Roman"/>
          <w:color w:val="222222"/>
          <w:highlight w:val="white"/>
        </w:rPr>
      </w:pPr>
      <w:r>
        <w:rPr>
          <w:rFonts w:ascii="Times New Roman" w:hAnsi="Times New Roman"/>
          <w:color w:val="222222"/>
          <w:shd w:val="clear" w:color="auto" w:fill="FFFFFF"/>
        </w:rPr>
        <w:t>Muller, W., 2017. “Characterizing Moisture within Unbound Granular Pavements Using Multi-Offset Ground Penetrating Radar.” Dissertation, University of Queensland, Australia.</w:t>
      </w:r>
    </w:p>
    <w:p w14:paraId="29AADA7E" w14:textId="77777777" w:rsidR="007742ED" w:rsidRPr="007742ED" w:rsidRDefault="007742ED" w:rsidP="007742ED">
      <w:pPr>
        <w:pStyle w:val="ListParagraph"/>
        <w:numPr>
          <w:ilvl w:val="0"/>
          <w:numId w:val="1"/>
        </w:numPr>
        <w:spacing w:before="0" w:after="0" w:line="240" w:lineRule="auto"/>
        <w:jc w:val="both"/>
        <w:rPr>
          <w:rFonts w:ascii="Times New Roman" w:hAnsi="Times New Roman"/>
          <w:color w:val="222222"/>
        </w:rPr>
      </w:pPr>
      <w:r w:rsidRPr="007742ED">
        <w:rPr>
          <w:rFonts w:ascii="Times New Roman" w:hAnsi="Times New Roman"/>
          <w:color w:val="222222"/>
        </w:rPr>
        <w:t>Nazarian, S., Mazari, M., Abdallah, I., Puppala, A. J., Mohammad, L. N., &amp; Abu-Farsakh, M. Y.</w:t>
      </w:r>
      <w:r>
        <w:rPr>
          <w:rFonts w:ascii="Times New Roman" w:hAnsi="Times New Roman"/>
          <w:color w:val="222222"/>
        </w:rPr>
        <w:t xml:space="preserve">, </w:t>
      </w:r>
      <w:r w:rsidRPr="007742ED">
        <w:rPr>
          <w:rFonts w:ascii="Times New Roman" w:hAnsi="Times New Roman"/>
          <w:color w:val="222222"/>
        </w:rPr>
        <w:t>2014, “Modulus-Based Construction Specification for Compaction of Earthwork and Unbound</w:t>
      </w:r>
      <w:r>
        <w:rPr>
          <w:rFonts w:ascii="Times New Roman" w:hAnsi="Times New Roman"/>
          <w:color w:val="222222"/>
        </w:rPr>
        <w:t xml:space="preserve"> </w:t>
      </w:r>
      <w:r w:rsidRPr="007742ED">
        <w:rPr>
          <w:rFonts w:ascii="Times New Roman" w:hAnsi="Times New Roman"/>
          <w:color w:val="222222"/>
        </w:rPr>
        <w:t>Aggregate,” NCHRP Project 10-84</w:t>
      </w:r>
    </w:p>
    <w:p w14:paraId="1A8CD8DC" w14:textId="59783BCE" w:rsidR="00BC176C" w:rsidRDefault="00010210">
      <w:pPr>
        <w:pStyle w:val="ListParagraph"/>
        <w:numPr>
          <w:ilvl w:val="0"/>
          <w:numId w:val="1"/>
        </w:numPr>
        <w:spacing w:before="0" w:after="0" w:line="240" w:lineRule="auto"/>
        <w:jc w:val="both"/>
        <w:rPr>
          <w:rFonts w:ascii="Times New Roman" w:hAnsi="Times New Roman"/>
        </w:rPr>
      </w:pPr>
      <w:r>
        <w:rPr>
          <w:rFonts w:ascii="Times New Roman" w:hAnsi="Times New Roman"/>
        </w:rPr>
        <w:t>Roberson and Siekmeier, 2002, “Determining Material Moisture Characteristics for Pavement Drainage and Mechanistic</w:t>
      </w:r>
      <w:r w:rsidR="00932749">
        <w:rPr>
          <w:rFonts w:ascii="Times New Roman" w:hAnsi="Times New Roman"/>
        </w:rPr>
        <w:t>-</w:t>
      </w:r>
      <w:r>
        <w:rPr>
          <w:rFonts w:ascii="Times New Roman" w:hAnsi="Times New Roman"/>
        </w:rPr>
        <w:t>Empirical Design,” Research Bulletin 2002-09, MnDOT.</w:t>
      </w:r>
    </w:p>
    <w:p w14:paraId="28683588" w14:textId="77777777" w:rsidR="00BC176C" w:rsidRDefault="00010210">
      <w:pPr>
        <w:pStyle w:val="ListParagraph"/>
        <w:numPr>
          <w:ilvl w:val="0"/>
          <w:numId w:val="1"/>
        </w:numPr>
        <w:spacing w:before="0" w:after="0" w:line="240" w:lineRule="auto"/>
        <w:jc w:val="both"/>
        <w:rPr>
          <w:rFonts w:ascii="Times New Roman" w:hAnsi="Times New Roman"/>
        </w:rPr>
      </w:pPr>
      <w:r>
        <w:rPr>
          <w:rFonts w:ascii="Times New Roman" w:hAnsi="Times New Roman"/>
        </w:rPr>
        <w:t>Saarenketo et al., 2002, “Effect of Seasonal Changes on Strength and Deformation Properties of Unbound and Bound Road Aggregates,” Bearing Capacity of Roads, Railways and Airfields.</w:t>
      </w:r>
    </w:p>
    <w:p w14:paraId="40DA726E" w14:textId="77777777" w:rsidR="00935038" w:rsidRPr="00935038" w:rsidRDefault="00935038" w:rsidP="00935038">
      <w:pPr>
        <w:pStyle w:val="ListParagraph"/>
        <w:numPr>
          <w:ilvl w:val="0"/>
          <w:numId w:val="1"/>
        </w:numPr>
        <w:spacing w:before="0" w:after="0" w:line="240" w:lineRule="auto"/>
        <w:jc w:val="both"/>
        <w:rPr>
          <w:rFonts w:ascii="Times New Roman" w:hAnsi="Times New Roman"/>
        </w:rPr>
      </w:pPr>
      <w:r>
        <w:rPr>
          <w:rFonts w:ascii="Times New Roman" w:hAnsi="Times New Roman"/>
        </w:rPr>
        <w:t>Sotelo, M. J., 2012, “</w:t>
      </w:r>
      <w:r w:rsidRPr="00935038">
        <w:rPr>
          <w:rFonts w:ascii="Times New Roman" w:hAnsi="Times New Roman"/>
        </w:rPr>
        <w:t xml:space="preserve">Evaluation </w:t>
      </w:r>
      <w:r>
        <w:rPr>
          <w:rFonts w:ascii="Times New Roman" w:hAnsi="Times New Roman"/>
        </w:rPr>
        <w:t>o</w:t>
      </w:r>
      <w:r w:rsidRPr="00935038">
        <w:rPr>
          <w:rFonts w:ascii="Times New Roman" w:hAnsi="Times New Roman"/>
        </w:rPr>
        <w:t xml:space="preserve">f Non-Nuclear Devices </w:t>
      </w:r>
      <w:r>
        <w:rPr>
          <w:rFonts w:ascii="Times New Roman" w:hAnsi="Times New Roman"/>
        </w:rPr>
        <w:t>i</w:t>
      </w:r>
      <w:r w:rsidRPr="00935038">
        <w:rPr>
          <w:rFonts w:ascii="Times New Roman" w:hAnsi="Times New Roman"/>
        </w:rPr>
        <w:t>n Measuring Moisture</w:t>
      </w:r>
      <w:r>
        <w:rPr>
          <w:rFonts w:ascii="Times New Roman" w:hAnsi="Times New Roman"/>
        </w:rPr>
        <w:t xml:space="preserve"> </w:t>
      </w:r>
      <w:r w:rsidRPr="00935038">
        <w:rPr>
          <w:rFonts w:ascii="Times New Roman" w:hAnsi="Times New Roman"/>
        </w:rPr>
        <w:t xml:space="preserve">Content </w:t>
      </w:r>
      <w:r>
        <w:rPr>
          <w:rFonts w:ascii="Times New Roman" w:hAnsi="Times New Roman"/>
        </w:rPr>
        <w:t>a</w:t>
      </w:r>
      <w:r w:rsidRPr="00935038">
        <w:rPr>
          <w:rFonts w:ascii="Times New Roman" w:hAnsi="Times New Roman"/>
        </w:rPr>
        <w:t xml:space="preserve">nd Density </w:t>
      </w:r>
      <w:r>
        <w:rPr>
          <w:rFonts w:ascii="Times New Roman" w:hAnsi="Times New Roman"/>
        </w:rPr>
        <w:t>o</w:t>
      </w:r>
      <w:r w:rsidRPr="00935038">
        <w:rPr>
          <w:rFonts w:ascii="Times New Roman" w:hAnsi="Times New Roman"/>
        </w:rPr>
        <w:t>f Soils</w:t>
      </w:r>
      <w:r>
        <w:rPr>
          <w:rFonts w:ascii="Times New Roman" w:hAnsi="Times New Roman"/>
        </w:rPr>
        <w:t>.”  MS Thesis, The University of Texas at El Paso.</w:t>
      </w:r>
    </w:p>
    <w:p w14:paraId="1764BF81" w14:textId="77777777" w:rsidR="00CF4E5E" w:rsidRPr="00CF4E5E" w:rsidRDefault="00010210" w:rsidP="00CF4E5E">
      <w:pPr>
        <w:pStyle w:val="ListParagraph"/>
        <w:numPr>
          <w:ilvl w:val="0"/>
          <w:numId w:val="1"/>
        </w:numPr>
        <w:spacing w:before="0" w:after="0" w:line="240" w:lineRule="auto"/>
        <w:jc w:val="both"/>
      </w:pPr>
      <w:r>
        <w:rPr>
          <w:rFonts w:ascii="Times New Roman" w:hAnsi="Times New Roman"/>
        </w:rPr>
        <w:t>Tatsuoka F., Gomes Correia A., 2018, “Importance of Controlling Degree of Saturation in Soil Compaction Linked to Soil Structure Design.” Transportation Geotechnics, Volume 17, Part B, pp. 3-23.</w:t>
      </w:r>
    </w:p>
    <w:p w14:paraId="0F136DAA" w14:textId="77777777" w:rsidR="00CF4E5E" w:rsidRDefault="00CF4E5E" w:rsidP="00CF4E5E">
      <w:pPr>
        <w:pStyle w:val="ListParagraph"/>
        <w:numPr>
          <w:ilvl w:val="0"/>
          <w:numId w:val="1"/>
        </w:numPr>
        <w:spacing w:before="0" w:after="0" w:line="240" w:lineRule="auto"/>
        <w:jc w:val="both"/>
        <w:sectPr w:rsidR="00CF4E5E">
          <w:headerReference w:type="default" r:id="rId18"/>
          <w:footerReference w:type="default" r:id="rId19"/>
          <w:pgSz w:w="12240" w:h="15840"/>
          <w:pgMar w:top="1440" w:right="1440" w:bottom="1440" w:left="1440" w:header="0" w:footer="504" w:gutter="0"/>
          <w:cols w:space="720"/>
          <w:formProt w:val="0"/>
          <w:docGrid w:linePitch="312" w:charSpace="-2049"/>
        </w:sectPr>
      </w:pPr>
      <w:r w:rsidRPr="00CF4E5E">
        <w:rPr>
          <w:rFonts w:ascii="Times New Roman" w:hAnsi="Times New Roman"/>
        </w:rPr>
        <w:t>Yonemaru Y., Fijisaki K., Yoshida T., Kobayashi H., Sakamoto H.</w:t>
      </w:r>
      <w:r>
        <w:rPr>
          <w:rFonts w:ascii="Times New Roman" w:hAnsi="Times New Roman"/>
        </w:rPr>
        <w:t xml:space="preserve">, </w:t>
      </w:r>
      <w:r w:rsidRPr="00CF4E5E">
        <w:rPr>
          <w:rFonts w:ascii="Times New Roman" w:hAnsi="Times New Roman"/>
        </w:rPr>
        <w:t>2020</w:t>
      </w:r>
      <w:r>
        <w:rPr>
          <w:rFonts w:ascii="Times New Roman" w:hAnsi="Times New Roman"/>
        </w:rPr>
        <w:t>,</w:t>
      </w:r>
      <w:r w:rsidRPr="00CF4E5E">
        <w:rPr>
          <w:rFonts w:ascii="Times New Roman" w:hAnsi="Times New Roman"/>
        </w:rPr>
        <w:t xml:space="preserve"> </w:t>
      </w:r>
      <w:r>
        <w:rPr>
          <w:rFonts w:ascii="Times New Roman" w:hAnsi="Times New Roman"/>
        </w:rPr>
        <w:t>“</w:t>
      </w:r>
      <w:r w:rsidRPr="00CF4E5E">
        <w:rPr>
          <w:rFonts w:ascii="Times New Roman" w:hAnsi="Times New Roman"/>
        </w:rPr>
        <w:t xml:space="preserve">Automated Production Control System of Embankment Materials at Rock-Fill Dam. </w:t>
      </w:r>
      <w:r>
        <w:rPr>
          <w:rFonts w:ascii="Times New Roman" w:hAnsi="Times New Roman"/>
        </w:rPr>
        <w:t>Proceedings</w:t>
      </w:r>
      <w:r w:rsidRPr="00CF4E5E">
        <w:rPr>
          <w:rFonts w:ascii="Times New Roman" w:hAnsi="Times New Roman"/>
        </w:rPr>
        <w:t xml:space="preserve"> Information Technology in Geo-Engineering</w:t>
      </w:r>
      <w:r>
        <w:rPr>
          <w:rFonts w:ascii="Times New Roman" w:hAnsi="Times New Roman"/>
        </w:rPr>
        <w:t>,</w:t>
      </w:r>
      <w:r w:rsidRPr="00CF4E5E">
        <w:rPr>
          <w:rFonts w:ascii="Times New Roman" w:hAnsi="Times New Roman"/>
        </w:rPr>
        <w:t xml:space="preserve"> Springer Series in Geomechanics and Geoengineering. </w:t>
      </w:r>
    </w:p>
    <w:p w14:paraId="3207AAC7" w14:textId="77777777" w:rsidR="00CA4360" w:rsidRDefault="00CA4360">
      <w:pPr>
        <w:sectPr w:rsidR="00CA4360">
          <w:type w:val="continuous"/>
          <w:pgSz w:w="12240" w:h="15840"/>
          <w:pgMar w:top="1440" w:right="1440" w:bottom="1440" w:left="1440" w:header="0" w:footer="504" w:gutter="0"/>
          <w:cols w:space="720"/>
          <w:formProt w:val="0"/>
          <w:docGrid w:linePitch="312" w:charSpace="-2049"/>
        </w:sectPr>
      </w:pPr>
    </w:p>
    <w:p w14:paraId="25C2E1CB" w14:textId="7FD5AD08" w:rsidR="00010210" w:rsidRDefault="00CA4360" w:rsidP="00CA4360">
      <w:pPr>
        <w:ind w:left="-1350" w:right="-1350"/>
      </w:pPr>
      <w:r w:rsidRPr="00A765DC">
        <w:rPr>
          <w:noProof/>
        </w:rPr>
        <w:lastRenderedPageBreak/>
        <w:drawing>
          <wp:anchor distT="0" distB="0" distL="114300" distR="114300" simplePos="0" relativeHeight="251659264" behindDoc="0" locked="0" layoutInCell="1" allowOverlap="1" wp14:anchorId="145EEE83" wp14:editId="637E2548">
            <wp:simplePos x="0" y="0"/>
            <wp:positionH relativeFrom="page">
              <wp:posOffset>4741545</wp:posOffset>
            </wp:positionH>
            <wp:positionV relativeFrom="paragraph">
              <wp:posOffset>475161</wp:posOffset>
            </wp:positionV>
            <wp:extent cx="5110480" cy="535876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val="0"/>
                        </a:ext>
                      </a:extLst>
                    </a:blip>
                    <a:stretch>
                      <a:fillRect/>
                    </a:stretch>
                  </pic:blipFill>
                  <pic:spPr>
                    <a:xfrm>
                      <a:off x="0" y="0"/>
                      <a:ext cx="5110480" cy="5358765"/>
                    </a:xfrm>
                    <a:prstGeom prst="rect">
                      <a:avLst/>
                    </a:prstGeom>
                  </pic:spPr>
                </pic:pic>
              </a:graphicData>
            </a:graphic>
            <wp14:sizeRelH relativeFrom="margin">
              <wp14:pctWidth>0</wp14:pctWidth>
            </wp14:sizeRelH>
            <wp14:sizeRelV relativeFrom="margin">
              <wp14:pctHeight>0</wp14:pctHeight>
            </wp14:sizeRelV>
          </wp:anchor>
        </w:drawing>
      </w:r>
      <w:r w:rsidRPr="00A765DC">
        <w:rPr>
          <w:noProof/>
        </w:rPr>
        <w:drawing>
          <wp:anchor distT="0" distB="0" distL="114300" distR="114300" simplePos="0" relativeHeight="251660288" behindDoc="0" locked="0" layoutInCell="1" allowOverlap="1" wp14:anchorId="487A5690" wp14:editId="435C066A">
            <wp:simplePos x="0" y="0"/>
            <wp:positionH relativeFrom="column">
              <wp:posOffset>0</wp:posOffset>
            </wp:positionH>
            <wp:positionV relativeFrom="margin">
              <wp:posOffset>464185</wp:posOffset>
            </wp:positionV>
            <wp:extent cx="4105656" cy="5340096"/>
            <wp:effectExtent l="0" t="0" r="9525"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28A0092B-C50C-407E-A947-70E740481C1C}">
                          <a14:useLocalDpi xmlns:a14="http://schemas.microsoft.com/office/drawing/2010/main" val="0"/>
                        </a:ext>
                      </a:extLst>
                    </a:blip>
                    <a:stretch>
                      <a:fillRect/>
                    </a:stretch>
                  </pic:blipFill>
                  <pic:spPr>
                    <a:xfrm>
                      <a:off x="0" y="0"/>
                      <a:ext cx="4105656" cy="5340096"/>
                    </a:xfrm>
                    <a:prstGeom prst="rect">
                      <a:avLst/>
                    </a:prstGeom>
                  </pic:spPr>
                </pic:pic>
              </a:graphicData>
            </a:graphic>
            <wp14:sizeRelH relativeFrom="margin">
              <wp14:pctWidth>0</wp14:pctWidth>
            </wp14:sizeRelH>
            <wp14:sizeRelV relativeFrom="margin">
              <wp14:pctHeight>0</wp14:pctHeight>
            </wp14:sizeRelV>
          </wp:anchor>
        </w:drawing>
      </w:r>
    </w:p>
    <w:sectPr w:rsidR="00010210" w:rsidSect="00A765DC">
      <w:footerReference w:type="default" r:id="rId22"/>
      <w:pgSz w:w="15840" w:h="12240" w:orient="landscape"/>
      <w:pgMar w:top="180" w:right="18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430ACA" w14:textId="77777777" w:rsidR="00D05079" w:rsidRDefault="00D05079">
      <w:pPr>
        <w:spacing w:before="0" w:after="0" w:line="240" w:lineRule="auto"/>
      </w:pPr>
      <w:r>
        <w:separator/>
      </w:r>
    </w:p>
  </w:endnote>
  <w:endnote w:type="continuationSeparator" w:id="0">
    <w:p w14:paraId="249CB18D" w14:textId="77777777" w:rsidR="00D05079" w:rsidRDefault="00D05079">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Century Gothic">
    <w:panose1 w:val="020B0502020202020204"/>
    <w:charset w:val="00"/>
    <w:family w:val="swiss"/>
    <w:pitch w:val="variable"/>
    <w:sig w:usb0="00000287" w:usb1="00000000" w:usb2="00000000" w:usb3="00000000" w:csb0="0000009F" w:csb1="00000000"/>
  </w:font>
  <w:font w:name="Adobe Caslon Pro">
    <w:charset w:val="00"/>
    <w:family w:val="roman"/>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CD68BE" w14:textId="1DCF67FC" w:rsidR="00BC176C" w:rsidRDefault="00010210" w:rsidP="00CA4360">
    <w:pPr>
      <w:pStyle w:val="Footer"/>
      <w:tabs>
        <w:tab w:val="left" w:pos="8550"/>
        <w:tab w:val="left" w:pos="8730"/>
        <w:tab w:val="left" w:pos="10170"/>
      </w:tabs>
      <w:ind w:right="-810"/>
    </w:pPr>
    <w:r>
      <w:rPr>
        <w:rFonts w:ascii="Times New Roman" w:hAnsi="Times New Roman"/>
        <w:b/>
        <w:bCs/>
        <w:i/>
        <w:iCs/>
        <w:sz w:val="20"/>
        <w:szCs w:val="20"/>
      </w:rPr>
      <w:t>UTEP Proposal</w:t>
    </w:r>
    <w:r>
      <w:rPr>
        <w:rFonts w:ascii="Times New Roman" w:hAnsi="Times New Roman"/>
        <w:b/>
        <w:bCs/>
        <w:i/>
        <w:iCs/>
        <w:sz w:val="20"/>
        <w:szCs w:val="20"/>
      </w:rPr>
      <w:tab/>
      <w:t xml:space="preserve">page </w:t>
    </w:r>
    <w:r>
      <w:rPr>
        <w:rFonts w:ascii="Times New Roman" w:hAnsi="Times New Roman"/>
        <w:b/>
        <w:bCs/>
        <w:i/>
        <w:iCs/>
        <w:sz w:val="20"/>
        <w:szCs w:val="20"/>
      </w:rPr>
      <w:fldChar w:fldCharType="begin"/>
    </w:r>
    <w:r>
      <w:rPr>
        <w:rFonts w:ascii="Times New Roman" w:hAnsi="Times New Roman"/>
        <w:b/>
        <w:bCs/>
        <w:i/>
        <w:iCs/>
        <w:sz w:val="20"/>
        <w:szCs w:val="20"/>
      </w:rPr>
      <w:instrText>PAGE</w:instrText>
    </w:r>
    <w:r>
      <w:rPr>
        <w:rFonts w:ascii="Times New Roman" w:hAnsi="Times New Roman"/>
        <w:b/>
        <w:bCs/>
        <w:i/>
        <w:iCs/>
        <w:sz w:val="20"/>
        <w:szCs w:val="20"/>
      </w:rPr>
      <w:fldChar w:fldCharType="separate"/>
    </w:r>
    <w:r w:rsidR="00642369">
      <w:rPr>
        <w:rFonts w:ascii="Times New Roman" w:hAnsi="Times New Roman"/>
        <w:b/>
        <w:bCs/>
        <w:i/>
        <w:iCs/>
        <w:noProof/>
        <w:sz w:val="20"/>
        <w:szCs w:val="20"/>
      </w:rPr>
      <w:t>8</w:t>
    </w:r>
    <w:r>
      <w:rPr>
        <w:rFonts w:ascii="Times New Roman" w:hAnsi="Times New Roman"/>
        <w:b/>
        <w:bCs/>
        <w:i/>
        <w:iCs/>
        <w:sz w:val="20"/>
        <w:szCs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63230B" w14:textId="3DB5BD28" w:rsidR="008D3BBF" w:rsidRDefault="008D3BBF" w:rsidP="00CA4360">
    <w:pPr>
      <w:pStyle w:val="Footer"/>
      <w:tabs>
        <w:tab w:val="left" w:pos="8550"/>
        <w:tab w:val="left" w:pos="8730"/>
        <w:tab w:val="left" w:pos="10170"/>
      </w:tabs>
      <w:ind w:right="-810"/>
    </w:pPr>
    <w:r>
      <w:rPr>
        <w:rFonts w:ascii="Times New Roman" w:hAnsi="Times New Roman"/>
        <w:b/>
        <w:bCs/>
        <w:i/>
        <w:iCs/>
        <w:sz w:val="20"/>
        <w:szCs w:val="20"/>
      </w:rPr>
      <w:t>UTEP Proposal</w:t>
    </w:r>
    <w:r>
      <w:rPr>
        <w:rFonts w:ascii="Times New Roman" w:hAnsi="Times New Roman"/>
        <w:b/>
        <w:bCs/>
        <w:i/>
        <w:iCs/>
        <w:sz w:val="20"/>
        <w:szCs w:val="20"/>
      </w:rPr>
      <w:tab/>
    </w:r>
    <w:r>
      <w:rPr>
        <w:rFonts w:ascii="Times New Roman" w:hAnsi="Times New Roman"/>
        <w:b/>
        <w:bCs/>
        <w:i/>
        <w:iCs/>
        <w:sz w:val="20"/>
        <w:szCs w:val="20"/>
      </w:rPr>
      <w:tab/>
    </w:r>
    <w:r>
      <w:rPr>
        <w:rFonts w:ascii="Times New Roman" w:hAnsi="Times New Roman"/>
        <w:b/>
        <w:bCs/>
        <w:i/>
        <w:iCs/>
        <w:sz w:val="20"/>
        <w:szCs w:val="20"/>
      </w:rPr>
      <w:tab/>
    </w:r>
    <w:r>
      <w:rPr>
        <w:rFonts w:ascii="Times New Roman" w:hAnsi="Times New Roman"/>
        <w:b/>
        <w:bCs/>
        <w:i/>
        <w:iCs/>
        <w:sz w:val="20"/>
        <w:szCs w:val="20"/>
      </w:rPr>
      <w:tab/>
    </w:r>
    <w:r>
      <w:rPr>
        <w:rFonts w:ascii="Times New Roman" w:hAnsi="Times New Roman"/>
        <w:b/>
        <w:bCs/>
        <w:i/>
        <w:iCs/>
        <w:sz w:val="20"/>
        <w:szCs w:val="20"/>
      </w:rPr>
      <w:tab/>
    </w:r>
    <w:r>
      <w:rPr>
        <w:rFonts w:ascii="Times New Roman" w:hAnsi="Times New Roman"/>
        <w:b/>
        <w:bCs/>
        <w:i/>
        <w:iCs/>
        <w:sz w:val="20"/>
        <w:szCs w:val="20"/>
      </w:rPr>
      <w:tab/>
    </w:r>
    <w:r>
      <w:rPr>
        <w:rFonts w:ascii="Times New Roman" w:hAnsi="Times New Roman"/>
        <w:b/>
        <w:bCs/>
        <w:i/>
        <w:iCs/>
        <w:sz w:val="20"/>
        <w:szCs w:val="20"/>
      </w:rPr>
      <w:tab/>
      <w:t xml:space="preserve">page </w:t>
    </w:r>
    <w:r>
      <w:rPr>
        <w:rFonts w:ascii="Times New Roman" w:hAnsi="Times New Roman"/>
        <w:b/>
        <w:bCs/>
        <w:i/>
        <w:iCs/>
        <w:sz w:val="20"/>
        <w:szCs w:val="20"/>
      </w:rPr>
      <w:fldChar w:fldCharType="begin"/>
    </w:r>
    <w:r>
      <w:rPr>
        <w:rFonts w:ascii="Times New Roman" w:hAnsi="Times New Roman"/>
        <w:b/>
        <w:bCs/>
        <w:i/>
        <w:iCs/>
        <w:sz w:val="20"/>
        <w:szCs w:val="20"/>
      </w:rPr>
      <w:instrText>PAGE</w:instrText>
    </w:r>
    <w:r>
      <w:rPr>
        <w:rFonts w:ascii="Times New Roman" w:hAnsi="Times New Roman"/>
        <w:b/>
        <w:bCs/>
        <w:i/>
        <w:iCs/>
        <w:sz w:val="20"/>
        <w:szCs w:val="20"/>
      </w:rPr>
      <w:fldChar w:fldCharType="separate"/>
    </w:r>
    <w:r>
      <w:rPr>
        <w:rFonts w:ascii="Times New Roman" w:hAnsi="Times New Roman"/>
        <w:b/>
        <w:bCs/>
        <w:i/>
        <w:iCs/>
        <w:noProof/>
        <w:sz w:val="20"/>
        <w:szCs w:val="20"/>
      </w:rPr>
      <w:t>8</w:t>
    </w:r>
    <w:r>
      <w:rPr>
        <w:rFonts w:ascii="Times New Roman" w:hAnsi="Times New Roman"/>
        <w:b/>
        <w:bCs/>
        <w:i/>
        <w:iCs/>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FC0EF1C" w14:textId="77777777" w:rsidR="00D05079" w:rsidRDefault="00D05079">
      <w:r>
        <w:separator/>
      </w:r>
    </w:p>
  </w:footnote>
  <w:footnote w:type="continuationSeparator" w:id="0">
    <w:p w14:paraId="7CD7AFA7" w14:textId="77777777" w:rsidR="00D05079" w:rsidRDefault="00D050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AD04DF" w14:textId="77777777" w:rsidR="00BC176C" w:rsidRDefault="00BC176C">
    <w:pPr>
      <w:pStyle w:val="Header"/>
      <w:rPr>
        <w:rFonts w:ascii="Times New Roman" w:hAnsi="Times New Roman"/>
      </w:rPr>
    </w:pPr>
  </w:p>
  <w:p w14:paraId="5CA0D0D4" w14:textId="77777777" w:rsidR="00BC176C" w:rsidRDefault="00010210">
    <w:pPr>
      <w:pStyle w:val="Header"/>
      <w:rPr>
        <w:rFonts w:ascii="Times New Roman" w:hAnsi="Times New Roman"/>
      </w:rPr>
    </w:pPr>
    <w:r>
      <w:rPr>
        <w:rFonts w:ascii="Times New Roman" w:hAnsi="Times New Roman"/>
        <w:noProof/>
        <w:lang w:bidi="ar-SA"/>
      </w:rPr>
      <w:drawing>
        <wp:anchor distT="0" distB="5715" distL="114300" distR="119380" simplePos="0" relativeHeight="11" behindDoc="0" locked="0" layoutInCell="1" allowOverlap="1" wp14:anchorId="68E866F5" wp14:editId="36C2C4AF">
          <wp:simplePos x="0" y="0"/>
          <wp:positionH relativeFrom="column">
            <wp:posOffset>176530</wp:posOffset>
          </wp:positionH>
          <wp:positionV relativeFrom="paragraph">
            <wp:posOffset>108585</wp:posOffset>
          </wp:positionV>
          <wp:extent cx="680720" cy="337185"/>
          <wp:effectExtent l="0" t="0" r="0" b="0"/>
          <wp:wrapTight wrapText="bothSides">
            <wp:wrapPolygon edited="0">
              <wp:start x="-122" y="0"/>
              <wp:lineTo x="-122" y="20630"/>
              <wp:lineTo x="21148" y="20630"/>
              <wp:lineTo x="21148" y="0"/>
              <wp:lineTo x="-122" y="0"/>
            </wp:wrapPolygon>
          </wp:wrapTight>
          <wp:docPr id="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noChangeArrowheads="1"/>
                  </pic:cNvPicPr>
                </pic:nvPicPr>
                <pic:blipFill>
                  <a:blip r:embed="rId1"/>
                  <a:stretch>
                    <a:fillRect/>
                  </a:stretch>
                </pic:blipFill>
                <pic:spPr bwMode="auto">
                  <a:xfrm>
                    <a:off x="0" y="0"/>
                    <a:ext cx="680720" cy="337185"/>
                  </a:xfrm>
                  <a:prstGeom prst="rect">
                    <a:avLst/>
                  </a:prstGeom>
                </pic:spPr>
              </pic:pic>
            </a:graphicData>
          </a:graphic>
        </wp:anchor>
      </w:drawing>
    </w:r>
  </w:p>
  <w:p w14:paraId="20782B7C" w14:textId="77777777" w:rsidR="00BC176C" w:rsidRDefault="00010210">
    <w:pPr>
      <w:pStyle w:val="Header"/>
      <w:tabs>
        <w:tab w:val="clear" w:pos="9360"/>
        <w:tab w:val="right" w:pos="8730"/>
      </w:tabs>
      <w:ind w:right="990"/>
      <w:rPr>
        <w:b/>
        <w:bCs/>
        <w:i/>
        <w:iCs/>
        <w:sz w:val="20"/>
        <w:szCs w:val="20"/>
      </w:rPr>
    </w:pPr>
    <w:r>
      <w:rPr>
        <w:rFonts w:ascii="Times New Roman" w:hAnsi="Times New Roman"/>
        <w:b/>
        <w:bCs/>
        <w:i/>
        <w:iCs/>
        <w:sz w:val="20"/>
        <w:szCs w:val="20"/>
      </w:rPr>
      <w:t xml:space="preserve">Continuous Moisture Measurement during Pavement Foundation Construction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0EC3CF9"/>
    <w:multiLevelType w:val="multilevel"/>
    <w:tmpl w:val="A70AAC10"/>
    <w:lvl w:ilvl="0">
      <w:start w:val="1"/>
      <w:numFmt w:val="decimal"/>
      <w:lvlText w:val="%1."/>
      <w:lvlJc w:val="left"/>
      <w:pPr>
        <w:ind w:left="720" w:hanging="72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261350F2"/>
    <w:multiLevelType w:val="multilevel"/>
    <w:tmpl w:val="557E5CD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 w15:restartNumberingAfterBreak="0">
    <w:nsid w:val="2E88460A"/>
    <w:multiLevelType w:val="multilevel"/>
    <w:tmpl w:val="79566D0C"/>
    <w:lvl w:ilvl="0">
      <w:start w:val="1"/>
      <w:numFmt w:val="bullet"/>
      <w:lvlText w:val=""/>
      <w:lvlJc w:val="left"/>
      <w:pPr>
        <w:tabs>
          <w:tab w:val="num" w:pos="360"/>
        </w:tabs>
        <w:ind w:left="360" w:hanging="360"/>
      </w:pPr>
      <w:rPr>
        <w:rFonts w:ascii="Symbol" w:hAnsi="Symbol" w:cs="Symbol" w:hint="default"/>
      </w:rPr>
    </w:lvl>
    <w:lvl w:ilvl="1">
      <w:start w:val="1984"/>
      <w:numFmt w:val="decimal"/>
      <w:lvlText w:val="%2"/>
      <w:lvlJc w:val="left"/>
      <w:pPr>
        <w:tabs>
          <w:tab w:val="num" w:pos="810"/>
        </w:tabs>
        <w:ind w:left="810" w:hanging="720"/>
      </w:pPr>
      <w:rPr>
        <w:rFonts w:cs="Times New Roman"/>
      </w:rPr>
    </w:lvl>
    <w:lvl w:ilvl="2">
      <w:start w:val="1"/>
      <w:numFmt w:val="decimal"/>
      <w:lvlText w:val="%3."/>
      <w:lvlJc w:val="left"/>
      <w:pPr>
        <w:tabs>
          <w:tab w:val="num" w:pos="1350"/>
        </w:tabs>
        <w:ind w:left="1350" w:hanging="360"/>
      </w:pPr>
    </w:lvl>
    <w:lvl w:ilvl="3">
      <w:start w:val="1"/>
      <w:numFmt w:val="decimal"/>
      <w:lvlText w:val="%4."/>
      <w:lvlJc w:val="left"/>
      <w:pPr>
        <w:tabs>
          <w:tab w:val="num" w:pos="1890"/>
        </w:tabs>
        <w:ind w:left="1890" w:hanging="360"/>
      </w:pPr>
      <w:rPr>
        <w:rFonts w:cs="Times New Roman"/>
      </w:rPr>
    </w:lvl>
    <w:lvl w:ilvl="4">
      <w:start w:val="1"/>
      <w:numFmt w:val="lowerLetter"/>
      <w:lvlText w:val="%5."/>
      <w:lvlJc w:val="left"/>
      <w:pPr>
        <w:tabs>
          <w:tab w:val="num" w:pos="2610"/>
        </w:tabs>
        <w:ind w:left="2610" w:hanging="360"/>
      </w:pPr>
      <w:rPr>
        <w:rFonts w:cs="Times New Roman"/>
      </w:rPr>
    </w:lvl>
    <w:lvl w:ilvl="5">
      <w:start w:val="1"/>
      <w:numFmt w:val="lowerRoman"/>
      <w:lvlText w:val="%6."/>
      <w:lvlJc w:val="right"/>
      <w:pPr>
        <w:tabs>
          <w:tab w:val="num" w:pos="3330"/>
        </w:tabs>
        <w:ind w:left="3330" w:hanging="180"/>
      </w:pPr>
      <w:rPr>
        <w:rFonts w:cs="Times New Roman"/>
      </w:rPr>
    </w:lvl>
    <w:lvl w:ilvl="6">
      <w:start w:val="1"/>
      <w:numFmt w:val="decimal"/>
      <w:lvlText w:val="%7."/>
      <w:lvlJc w:val="left"/>
      <w:pPr>
        <w:tabs>
          <w:tab w:val="num" w:pos="4050"/>
        </w:tabs>
        <w:ind w:left="4050" w:hanging="360"/>
      </w:pPr>
      <w:rPr>
        <w:rFonts w:cs="Times New Roman"/>
      </w:rPr>
    </w:lvl>
    <w:lvl w:ilvl="7">
      <w:start w:val="1"/>
      <w:numFmt w:val="lowerLetter"/>
      <w:lvlText w:val="%8."/>
      <w:lvlJc w:val="left"/>
      <w:pPr>
        <w:tabs>
          <w:tab w:val="num" w:pos="4770"/>
        </w:tabs>
        <w:ind w:left="4770" w:hanging="360"/>
      </w:pPr>
      <w:rPr>
        <w:rFonts w:cs="Times New Roman"/>
      </w:rPr>
    </w:lvl>
    <w:lvl w:ilvl="8">
      <w:start w:val="1"/>
      <w:numFmt w:val="lowerRoman"/>
      <w:lvlText w:val="%9."/>
      <w:lvlJc w:val="right"/>
      <w:pPr>
        <w:tabs>
          <w:tab w:val="num" w:pos="5490"/>
        </w:tabs>
        <w:ind w:left="5490" w:hanging="180"/>
      </w:pPr>
      <w:rPr>
        <w:rFonts w:cs="Times New Roman"/>
      </w:rPr>
    </w:lvl>
  </w:abstractNum>
  <w:abstractNum w:abstractNumId="3" w15:restartNumberingAfterBreak="0">
    <w:nsid w:val="393E3276"/>
    <w:multiLevelType w:val="multilevel"/>
    <w:tmpl w:val="2B20C80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DF804D2"/>
    <w:multiLevelType w:val="multilevel"/>
    <w:tmpl w:val="20581478"/>
    <w:lvl w:ilvl="0">
      <w:start w:val="1"/>
      <w:numFmt w:val="decimal"/>
      <w:lvlText w:val="%1."/>
      <w:lvlJc w:val="left"/>
      <w:pPr>
        <w:ind w:left="360" w:hanging="360"/>
      </w:pPr>
      <w:rPr>
        <w:rFonts w:ascii="Times New Roman" w:hAnsi="Times New Roman"/>
        <w:b w:val="0"/>
        <w:bCs/>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15:restartNumberingAfterBreak="0">
    <w:nsid w:val="46DF219C"/>
    <w:multiLevelType w:val="multilevel"/>
    <w:tmpl w:val="4D82C238"/>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6" w15:restartNumberingAfterBreak="0">
    <w:nsid w:val="5E7B6814"/>
    <w:multiLevelType w:val="multilevel"/>
    <w:tmpl w:val="254AE8B6"/>
    <w:lvl w:ilvl="0">
      <w:start w:val="1"/>
      <w:numFmt w:val="bullet"/>
      <w:lvlText w:val=""/>
      <w:lvlJc w:val="left"/>
      <w:pPr>
        <w:tabs>
          <w:tab w:val="num" w:pos="360"/>
        </w:tabs>
        <w:ind w:left="360" w:hanging="360"/>
      </w:pPr>
      <w:rPr>
        <w:rFonts w:ascii="Symbol" w:hAnsi="Symbol" w:cs="Symbol"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cs="Wingdings" w:hint="default"/>
      </w:rPr>
    </w:lvl>
    <w:lvl w:ilvl="3">
      <w:start w:val="1"/>
      <w:numFmt w:val="bullet"/>
      <w:lvlText w:val=""/>
      <w:lvlJc w:val="left"/>
      <w:pPr>
        <w:tabs>
          <w:tab w:val="num" w:pos="2520"/>
        </w:tabs>
        <w:ind w:left="2520" w:hanging="360"/>
      </w:pPr>
      <w:rPr>
        <w:rFonts w:ascii="Symbol" w:hAnsi="Symbol" w:cs="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cs="Wingdings" w:hint="default"/>
      </w:rPr>
    </w:lvl>
    <w:lvl w:ilvl="6">
      <w:start w:val="1"/>
      <w:numFmt w:val="bullet"/>
      <w:lvlText w:val=""/>
      <w:lvlJc w:val="left"/>
      <w:pPr>
        <w:tabs>
          <w:tab w:val="num" w:pos="4680"/>
        </w:tabs>
        <w:ind w:left="4680" w:hanging="360"/>
      </w:pPr>
      <w:rPr>
        <w:rFonts w:ascii="Symbol" w:hAnsi="Symbol" w:cs="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cs="Wingdings" w:hint="default"/>
      </w:rPr>
    </w:lvl>
  </w:abstractNum>
  <w:abstractNum w:abstractNumId="7" w15:restartNumberingAfterBreak="0">
    <w:nsid w:val="6B223B7C"/>
    <w:multiLevelType w:val="multilevel"/>
    <w:tmpl w:val="85C6997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15:restartNumberingAfterBreak="0">
    <w:nsid w:val="73B25529"/>
    <w:multiLevelType w:val="multilevel"/>
    <w:tmpl w:val="B76C363A"/>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num w:numId="1">
    <w:abstractNumId w:val="8"/>
  </w:num>
  <w:num w:numId="2">
    <w:abstractNumId w:val="7"/>
  </w:num>
  <w:num w:numId="3">
    <w:abstractNumId w:val="3"/>
  </w:num>
  <w:num w:numId="4">
    <w:abstractNumId w:val="4"/>
  </w:num>
  <w:num w:numId="5">
    <w:abstractNumId w:val="5"/>
  </w:num>
  <w:num w:numId="6">
    <w:abstractNumId w:val="2"/>
  </w:num>
  <w:num w:numId="7">
    <w:abstractNumId w:val="6"/>
  </w:num>
  <w:num w:numId="8">
    <w:abstractNumId w:val="0"/>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21"/>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TQ2NTM0sjQwMzIzNbZQ0lEKTi0uzszPAykwrAUAzFig7iwAAAA="/>
  </w:docVars>
  <w:rsids>
    <w:rsidRoot w:val="00BC176C"/>
    <w:rsid w:val="00010210"/>
    <w:rsid w:val="00055F51"/>
    <w:rsid w:val="00123AA6"/>
    <w:rsid w:val="002B2BFE"/>
    <w:rsid w:val="00362B34"/>
    <w:rsid w:val="004E5D7F"/>
    <w:rsid w:val="005D789F"/>
    <w:rsid w:val="00642369"/>
    <w:rsid w:val="00675CCA"/>
    <w:rsid w:val="006A2616"/>
    <w:rsid w:val="006E243F"/>
    <w:rsid w:val="00733C6A"/>
    <w:rsid w:val="00736D4D"/>
    <w:rsid w:val="007742ED"/>
    <w:rsid w:val="008D3BBF"/>
    <w:rsid w:val="00932749"/>
    <w:rsid w:val="00935038"/>
    <w:rsid w:val="0095395C"/>
    <w:rsid w:val="00A33E64"/>
    <w:rsid w:val="00B103C2"/>
    <w:rsid w:val="00BC176C"/>
    <w:rsid w:val="00CA4360"/>
    <w:rsid w:val="00CF4E5E"/>
    <w:rsid w:val="00D05079"/>
    <w:rsid w:val="00D74DAB"/>
    <w:rsid w:val="00D90C12"/>
    <w:rsid w:val="00DD2900"/>
    <w:rsid w:val="00E569B8"/>
    <w:rsid w:val="00E64F3C"/>
    <w:rsid w:val="00EB1823"/>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B99EBB"/>
  <w15:docId w15:val="{EA86C2A1-1B03-4FF1-B6D6-3504F0553D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Times New Roman" w:hAnsi="Calibri" w:cs="Times New Roman"/>
        <w:sz w:val="22"/>
        <w:szCs w:val="22"/>
        <w:lang w:val="en-US" w:eastAsia="en-US" w:bidi="en-US"/>
      </w:rPr>
    </w:rPrDefault>
    <w:pPrDefault/>
  </w:docDefaults>
  <w:latentStyles w:defLockedState="0" w:defUIPriority="0" w:defSemiHidden="0" w:defUnhideWhenUsed="0" w:defQFormat="0" w:count="376">
    <w:lsdException w:name="Normal" w:qFormat="1"/>
    <w:lsdException w:name="heading 1" w:uiPriority="1" w:qFormat="1"/>
    <w:lsdException w:name="heading 2" w:uiPriority="1" w:qFormat="1"/>
    <w:lsdException w:name="heading 3" w:uiPriority="1" w:qFormat="1"/>
    <w:lsdException w:name="heading 4" w:uiPriority="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iPriority="9" w:unhideWhenUsed="1"/>
    <w:lsdException w:name="index 2" w:semiHidden="1" w:uiPriority="9" w:unhideWhenUsed="1"/>
    <w:lsdException w:name="index 3" w:semiHidden="1" w:uiPriority="9" w:unhideWhenUsed="1"/>
    <w:lsdException w:name="index 4" w:semiHidden="1" w:uiPriority="9" w:unhideWhenUsed="1"/>
    <w:lsdException w:name="index 5" w:semiHidden="1" w:uiPriority="9" w:unhideWhenUsed="1"/>
    <w:lsdException w:name="index 6" w:semiHidden="1" w:uiPriority="9" w:unhideWhenUsed="1"/>
    <w:lsdException w:name="index 7" w:semiHidden="1" w:uiPriority="9" w:unhideWhenUsed="1"/>
    <w:lsdException w:name="index 8" w:semiHidden="1" w:uiPriority="9" w:unhideWhenUsed="1"/>
    <w:lsdException w:name="index 9" w:semiHidden="1" w:uiPriority="9"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qFormat="1"/>
    <w:lsdException w:name="index heading" w:semiHidden="1" w:uiPriority="9"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qFormat="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 w:qFormat="1"/>
    <w:lsdException w:name="Subtle Reference" w:uiPriority="33"/>
    <w:lsdException w:name="Intense Reference" w:uiPriority="34"/>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77A44"/>
    <w:pPr>
      <w:spacing w:before="200" w:after="200" w:line="271" w:lineRule="auto"/>
    </w:pPr>
  </w:style>
  <w:style w:type="paragraph" w:styleId="Heading1">
    <w:name w:val="heading 1"/>
    <w:basedOn w:val="Normal"/>
    <w:next w:val="Normal"/>
    <w:link w:val="Heading1Char"/>
    <w:uiPriority w:val="1"/>
    <w:qFormat/>
    <w:rsid w:val="00023F88"/>
    <w:pPr>
      <w:keepNext/>
      <w:keepLines/>
      <w:tabs>
        <w:tab w:val="left" w:pos="3345"/>
      </w:tabs>
      <w:spacing w:before="240" w:after="120"/>
      <w:outlineLvl w:val="0"/>
    </w:pPr>
    <w:rPr>
      <w:b/>
      <w:color w:val="003865"/>
      <w:sz w:val="40"/>
      <w:szCs w:val="40"/>
    </w:rPr>
  </w:style>
  <w:style w:type="paragraph" w:styleId="Heading2">
    <w:name w:val="heading 2"/>
    <w:basedOn w:val="Normal"/>
    <w:next w:val="Normal"/>
    <w:link w:val="Heading2Char"/>
    <w:uiPriority w:val="1"/>
    <w:qFormat/>
    <w:rsid w:val="00023F88"/>
    <w:pPr>
      <w:keepNext/>
      <w:keepLines/>
      <w:spacing w:before="360" w:after="240"/>
      <w:outlineLvl w:val="1"/>
    </w:pPr>
    <w:rPr>
      <w:rFonts w:asciiTheme="minorHAnsi" w:eastAsiaTheme="majorEastAsia" w:hAnsiTheme="minorHAnsi" w:cstheme="majorBidi"/>
      <w:b/>
      <w:color w:val="003865" w:themeColor="accent1"/>
      <w:sz w:val="32"/>
      <w:szCs w:val="32"/>
    </w:rPr>
  </w:style>
  <w:style w:type="paragraph" w:styleId="Heading3">
    <w:name w:val="heading 3"/>
    <w:basedOn w:val="Normal"/>
    <w:next w:val="Normal"/>
    <w:link w:val="Heading3Char"/>
    <w:uiPriority w:val="1"/>
    <w:qFormat/>
    <w:rsid w:val="00777A54"/>
    <w:pPr>
      <w:keepNext/>
      <w:spacing w:before="240" w:after="120"/>
      <w:outlineLvl w:val="2"/>
    </w:pPr>
    <w:rPr>
      <w:rFonts w:asciiTheme="minorHAnsi" w:eastAsiaTheme="majorEastAsia" w:hAnsiTheme="minorHAnsi" w:cs="Arial"/>
      <w:b/>
      <w:color w:val="003865" w:themeColor="accent1"/>
      <w:sz w:val="26"/>
      <w:szCs w:val="24"/>
    </w:rPr>
  </w:style>
  <w:style w:type="paragraph" w:styleId="Heading4">
    <w:name w:val="heading 4"/>
    <w:basedOn w:val="Normal"/>
    <w:next w:val="Normal"/>
    <w:link w:val="Heading4Char"/>
    <w:uiPriority w:val="1"/>
    <w:qFormat/>
    <w:rsid w:val="00023F88"/>
    <w:pPr>
      <w:keepNext/>
      <w:spacing w:before="240" w:after="120"/>
      <w:outlineLvl w:val="3"/>
    </w:pPr>
    <w:rPr>
      <w:rFonts w:eastAsiaTheme="majorEastAsia" w:cstheme="majorBidi"/>
      <w:i/>
      <w:sz w:val="24"/>
      <w:szCs w:val="24"/>
    </w:rPr>
  </w:style>
  <w:style w:type="paragraph" w:styleId="Heading5">
    <w:name w:val="heading 5"/>
    <w:basedOn w:val="Normal"/>
    <w:next w:val="Normal"/>
    <w:link w:val="Heading5Char"/>
    <w:uiPriority w:val="1"/>
    <w:unhideWhenUsed/>
    <w:qFormat/>
    <w:rsid w:val="0011175C"/>
    <w:pPr>
      <w:keepNext/>
      <w:keepLines/>
      <w:spacing w:before="240" w:after="120"/>
      <w:outlineLvl w:val="4"/>
    </w:pPr>
    <w:rPr>
      <w:rFonts w:asciiTheme="majorHAnsi" w:eastAsiaTheme="majorEastAsia" w:hAnsiTheme="majorHAnsi" w:cstheme="majorBidi"/>
      <w:b/>
      <w:color w:val="000000" w:themeColor="text2"/>
    </w:rPr>
  </w:style>
  <w:style w:type="paragraph" w:styleId="Heading6">
    <w:name w:val="heading 6"/>
    <w:basedOn w:val="Normal"/>
    <w:next w:val="Normal"/>
    <w:link w:val="Heading6Char"/>
    <w:uiPriority w:val="1"/>
    <w:unhideWhenUsed/>
    <w:qFormat/>
    <w:rsid w:val="0011175C"/>
    <w:pPr>
      <w:keepNext/>
      <w:keepLines/>
      <w:spacing w:before="240" w:after="120"/>
      <w:outlineLvl w:val="5"/>
    </w:pPr>
    <w:rPr>
      <w:rFonts w:asciiTheme="majorHAnsi" w:eastAsiaTheme="majorEastAsia" w:hAnsiTheme="majorHAnsi" w:cstheme="majorBidi"/>
      <w:i/>
      <w:iCs/>
      <w:color w:val="000000" w:themeColor="text2"/>
    </w:rPr>
  </w:style>
  <w:style w:type="paragraph" w:styleId="Heading7">
    <w:name w:val="heading 7"/>
    <w:basedOn w:val="Normal"/>
    <w:next w:val="Normal"/>
    <w:link w:val="Heading7Char"/>
    <w:uiPriority w:val="1"/>
    <w:semiHidden/>
    <w:unhideWhenUsed/>
    <w:qFormat/>
    <w:rsid w:val="001E5ECF"/>
    <w:pPr>
      <w:keepNext/>
      <w:keepLines/>
      <w:outlineLvl w:val="6"/>
    </w:pPr>
    <w:rPr>
      <w:rFonts w:asciiTheme="majorHAnsi" w:eastAsiaTheme="majorEastAsia" w:hAnsiTheme="majorHAnsi" w:cstheme="majorBidi"/>
      <w:i/>
      <w:iCs/>
      <w:color w:val="0070CB" w:themeColor="text1" w:themeTint="BF"/>
    </w:rPr>
  </w:style>
  <w:style w:type="paragraph" w:styleId="Heading8">
    <w:name w:val="heading 8"/>
    <w:basedOn w:val="Normal"/>
    <w:next w:val="Normal"/>
    <w:link w:val="Heading8Char"/>
    <w:uiPriority w:val="1"/>
    <w:semiHidden/>
    <w:unhideWhenUsed/>
    <w:qFormat/>
    <w:rsid w:val="001E5ECF"/>
    <w:pPr>
      <w:keepNext/>
      <w:keepLines/>
      <w:outlineLvl w:val="7"/>
    </w:pPr>
    <w:rPr>
      <w:rFonts w:asciiTheme="majorHAnsi" w:eastAsiaTheme="majorEastAsia" w:hAnsiTheme="majorHAnsi" w:cstheme="majorBidi"/>
      <w:color w:val="0070CB" w:themeColor="text1" w:themeTint="BF"/>
    </w:rPr>
  </w:style>
  <w:style w:type="paragraph" w:styleId="Heading9">
    <w:name w:val="heading 9"/>
    <w:basedOn w:val="Normal"/>
    <w:next w:val="Normal"/>
    <w:link w:val="Heading9Char"/>
    <w:uiPriority w:val="1"/>
    <w:semiHidden/>
    <w:unhideWhenUsed/>
    <w:qFormat/>
    <w:rsid w:val="001E5ECF"/>
    <w:pPr>
      <w:keepNext/>
      <w:keepLines/>
      <w:outlineLvl w:val="8"/>
    </w:pPr>
    <w:rPr>
      <w:rFonts w:asciiTheme="majorHAnsi" w:eastAsiaTheme="majorEastAsia" w:hAnsiTheme="majorHAnsi" w:cstheme="majorBidi"/>
      <w:i/>
      <w:iCs/>
      <w:color w:val="0070CB"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qFormat/>
    <w:rsid w:val="00023F88"/>
    <w:rPr>
      <w:b/>
      <w:color w:val="003865"/>
      <w:sz w:val="40"/>
      <w:szCs w:val="40"/>
    </w:rPr>
  </w:style>
  <w:style w:type="character" w:customStyle="1" w:styleId="Heading2Char">
    <w:name w:val="Heading 2 Char"/>
    <w:basedOn w:val="DefaultParagraphFont"/>
    <w:link w:val="Heading2"/>
    <w:uiPriority w:val="1"/>
    <w:qFormat/>
    <w:rsid w:val="00023F88"/>
    <w:rPr>
      <w:rFonts w:asciiTheme="minorHAnsi" w:eastAsiaTheme="majorEastAsia" w:hAnsiTheme="minorHAnsi" w:cstheme="majorBidi"/>
      <w:b/>
      <w:color w:val="003865" w:themeColor="accent1"/>
      <w:sz w:val="32"/>
      <w:szCs w:val="32"/>
    </w:rPr>
  </w:style>
  <w:style w:type="character" w:customStyle="1" w:styleId="Heading3Char">
    <w:name w:val="Heading 3 Char"/>
    <w:basedOn w:val="DefaultParagraphFont"/>
    <w:link w:val="Heading3"/>
    <w:uiPriority w:val="1"/>
    <w:qFormat/>
    <w:rsid w:val="00777A54"/>
    <w:rPr>
      <w:rFonts w:asciiTheme="minorHAnsi" w:eastAsiaTheme="majorEastAsia" w:hAnsiTheme="minorHAnsi" w:cs="Arial"/>
      <w:b/>
      <w:color w:val="003865" w:themeColor="accent1"/>
      <w:sz w:val="26"/>
      <w:szCs w:val="24"/>
    </w:rPr>
  </w:style>
  <w:style w:type="character" w:customStyle="1" w:styleId="Heading4Char">
    <w:name w:val="Heading 4 Char"/>
    <w:basedOn w:val="DefaultParagraphFont"/>
    <w:link w:val="Heading4"/>
    <w:uiPriority w:val="1"/>
    <w:qFormat/>
    <w:rsid w:val="00023F88"/>
    <w:rPr>
      <w:rFonts w:eastAsiaTheme="majorEastAsia" w:cstheme="majorBidi"/>
      <w:i/>
      <w:sz w:val="24"/>
      <w:szCs w:val="24"/>
    </w:rPr>
  </w:style>
  <w:style w:type="character" w:customStyle="1" w:styleId="Heading5Char">
    <w:name w:val="Heading 5 Char"/>
    <w:basedOn w:val="DefaultParagraphFont"/>
    <w:link w:val="Heading5"/>
    <w:uiPriority w:val="1"/>
    <w:qFormat/>
    <w:rsid w:val="0011175C"/>
    <w:rPr>
      <w:rFonts w:asciiTheme="majorHAnsi" w:eastAsiaTheme="majorEastAsia" w:hAnsiTheme="majorHAnsi" w:cstheme="majorBidi"/>
      <w:b/>
      <w:color w:val="000000" w:themeColor="text2"/>
    </w:rPr>
  </w:style>
  <w:style w:type="character" w:customStyle="1" w:styleId="Heading6Char">
    <w:name w:val="Heading 6 Char"/>
    <w:basedOn w:val="DefaultParagraphFont"/>
    <w:link w:val="Heading6"/>
    <w:uiPriority w:val="1"/>
    <w:qFormat/>
    <w:rsid w:val="0011175C"/>
    <w:rPr>
      <w:rFonts w:asciiTheme="majorHAnsi" w:eastAsiaTheme="majorEastAsia" w:hAnsiTheme="majorHAnsi" w:cstheme="majorBidi"/>
      <w:i/>
      <w:iCs/>
      <w:color w:val="000000" w:themeColor="text2"/>
    </w:rPr>
  </w:style>
  <w:style w:type="character" w:customStyle="1" w:styleId="Heading7Char">
    <w:name w:val="Heading 7 Char"/>
    <w:basedOn w:val="DefaultParagraphFont"/>
    <w:link w:val="Heading7"/>
    <w:uiPriority w:val="1"/>
    <w:semiHidden/>
    <w:qFormat/>
    <w:rsid w:val="008D5E3D"/>
    <w:rPr>
      <w:rFonts w:asciiTheme="majorHAnsi" w:eastAsiaTheme="majorEastAsia" w:hAnsiTheme="majorHAnsi" w:cstheme="majorBidi"/>
      <w:i/>
      <w:iCs/>
      <w:color w:val="0070CB" w:themeColor="text1" w:themeTint="BF"/>
    </w:rPr>
  </w:style>
  <w:style w:type="character" w:customStyle="1" w:styleId="Heading8Char">
    <w:name w:val="Heading 8 Char"/>
    <w:basedOn w:val="DefaultParagraphFont"/>
    <w:link w:val="Heading8"/>
    <w:uiPriority w:val="1"/>
    <w:semiHidden/>
    <w:qFormat/>
    <w:rsid w:val="008D5E3D"/>
    <w:rPr>
      <w:rFonts w:asciiTheme="majorHAnsi" w:eastAsiaTheme="majorEastAsia" w:hAnsiTheme="majorHAnsi" w:cstheme="majorBidi"/>
      <w:color w:val="0070CB" w:themeColor="text1" w:themeTint="BF"/>
    </w:rPr>
  </w:style>
  <w:style w:type="character" w:customStyle="1" w:styleId="Heading9Char">
    <w:name w:val="Heading 9 Char"/>
    <w:basedOn w:val="DefaultParagraphFont"/>
    <w:link w:val="Heading9"/>
    <w:uiPriority w:val="1"/>
    <w:semiHidden/>
    <w:qFormat/>
    <w:rsid w:val="008D5E3D"/>
    <w:rPr>
      <w:rFonts w:asciiTheme="majorHAnsi" w:eastAsiaTheme="majorEastAsia" w:hAnsiTheme="majorHAnsi" w:cstheme="majorBidi"/>
      <w:i/>
      <w:iCs/>
      <w:color w:val="0070CB" w:themeColor="text1" w:themeTint="BF"/>
    </w:rPr>
  </w:style>
  <w:style w:type="character" w:styleId="Emphasis">
    <w:name w:val="Emphasis"/>
    <w:uiPriority w:val="2"/>
    <w:qFormat/>
    <w:rsid w:val="00023F88"/>
    <w:rPr>
      <w:i/>
    </w:rPr>
  </w:style>
  <w:style w:type="character" w:customStyle="1" w:styleId="FootnoteCharacters">
    <w:name w:val="Footnote Characters"/>
    <w:basedOn w:val="DefaultParagraphFont"/>
    <w:semiHidden/>
    <w:qFormat/>
    <w:rsid w:val="001E5ECF"/>
    <w:rPr>
      <w:vertAlign w:val="superscript"/>
    </w:rPr>
  </w:style>
  <w:style w:type="character" w:customStyle="1" w:styleId="FootnoteAnchor">
    <w:name w:val="Footnote Anchor"/>
    <w:rPr>
      <w:vertAlign w:val="superscript"/>
    </w:rPr>
  </w:style>
  <w:style w:type="character" w:customStyle="1" w:styleId="FootnoteTextChar">
    <w:name w:val="Footnote Text Char"/>
    <w:basedOn w:val="DefaultParagraphFont"/>
    <w:link w:val="FootnoteText"/>
    <w:semiHidden/>
    <w:qFormat/>
    <w:rsid w:val="006C0E45"/>
    <w:rPr>
      <w:rFonts w:ascii="Arial" w:hAnsi="Arial"/>
      <w:sz w:val="20"/>
    </w:rPr>
  </w:style>
  <w:style w:type="character" w:customStyle="1" w:styleId="InternetLink">
    <w:name w:val="Internet Link"/>
    <w:basedOn w:val="DefaultParagraphFont"/>
    <w:uiPriority w:val="99"/>
    <w:unhideWhenUsed/>
    <w:rsid w:val="00A01FD9"/>
    <w:rPr>
      <w:color w:val="0563C1" w:themeColor="hyperlink"/>
      <w:u w:val="single"/>
    </w:rPr>
  </w:style>
  <w:style w:type="character" w:styleId="IntenseEmphasis">
    <w:name w:val="Intense Emphasis"/>
    <w:basedOn w:val="DefaultParagraphFont"/>
    <w:uiPriority w:val="2"/>
    <w:qFormat/>
    <w:rsid w:val="00023F88"/>
    <w:rPr>
      <w:b/>
      <w:i/>
      <w:iCs/>
      <w:color w:val="auto"/>
    </w:rPr>
  </w:style>
  <w:style w:type="character" w:customStyle="1" w:styleId="IntenseQuoteChar">
    <w:name w:val="Intense Quote Char"/>
    <w:basedOn w:val="DefaultParagraphFont"/>
    <w:link w:val="IntenseQuote"/>
    <w:uiPriority w:val="30"/>
    <w:qFormat/>
    <w:rsid w:val="00023F88"/>
    <w:rPr>
      <w:rFonts w:asciiTheme="minorHAnsi" w:hAnsiTheme="minorHAnsi"/>
      <w:i/>
      <w:iCs/>
      <w:color w:val="003865" w:themeColor="accent1"/>
      <w:sz w:val="26"/>
      <w:szCs w:val="26"/>
      <w:lang w:bidi="ar-SA"/>
    </w:rPr>
  </w:style>
  <w:style w:type="character" w:customStyle="1" w:styleId="QuoteChar">
    <w:name w:val="Quote Char"/>
    <w:basedOn w:val="DefaultParagraphFont"/>
    <w:link w:val="Quote"/>
    <w:uiPriority w:val="29"/>
    <w:qFormat/>
    <w:rsid w:val="006632F3"/>
    <w:rPr>
      <w:rFonts w:asciiTheme="minorHAnsi" w:hAnsiTheme="minorHAnsi"/>
      <w:i/>
      <w:iCs/>
      <w:lang w:bidi="ar-SA"/>
    </w:rPr>
  </w:style>
  <w:style w:type="character" w:styleId="Strong">
    <w:name w:val="Strong"/>
    <w:uiPriority w:val="22"/>
    <w:semiHidden/>
    <w:qFormat/>
    <w:rsid w:val="001E5ECF"/>
    <w:rPr>
      <w:b/>
      <w:bCs/>
    </w:rPr>
  </w:style>
  <w:style w:type="character" w:customStyle="1" w:styleId="TitleChar">
    <w:name w:val="Title Char"/>
    <w:basedOn w:val="DefaultParagraphFont"/>
    <w:link w:val="Title"/>
    <w:uiPriority w:val="10"/>
    <w:qFormat/>
    <w:rsid w:val="001E5ECF"/>
    <w:rPr>
      <w:rFonts w:ascii="Arial" w:eastAsiaTheme="majorEastAsia" w:hAnsi="Arial" w:cstheme="majorBidi"/>
      <w:spacing w:val="5"/>
      <w:sz w:val="52"/>
      <w:szCs w:val="52"/>
    </w:rPr>
  </w:style>
  <w:style w:type="character" w:customStyle="1" w:styleId="FooterChar">
    <w:name w:val="Footer Char"/>
    <w:basedOn w:val="DefaultParagraphFont"/>
    <w:link w:val="Footer"/>
    <w:uiPriority w:val="99"/>
    <w:qFormat/>
    <w:rsid w:val="006632F3"/>
  </w:style>
  <w:style w:type="character" w:customStyle="1" w:styleId="BoldcharacterChar">
    <w:name w:val="Bold character Char"/>
    <w:basedOn w:val="DefaultParagraphFont"/>
    <w:link w:val="Boldcharacter"/>
    <w:semiHidden/>
    <w:qFormat/>
    <w:rsid w:val="002F1947"/>
    <w:rPr>
      <w:b/>
      <w:sz w:val="22"/>
      <w:szCs w:val="22"/>
      <w:lang w:val="en-GB"/>
    </w:rPr>
  </w:style>
  <w:style w:type="character" w:customStyle="1" w:styleId="ClosingChar">
    <w:name w:val="Closing Char"/>
    <w:basedOn w:val="DefaultParagraphFont"/>
    <w:link w:val="Closing"/>
    <w:semiHidden/>
    <w:qFormat/>
    <w:rsid w:val="002F1947"/>
    <w:rPr>
      <w:sz w:val="22"/>
    </w:rPr>
  </w:style>
  <w:style w:type="character" w:customStyle="1" w:styleId="BodyText3Char">
    <w:name w:val="Body Text 3 Char"/>
    <w:basedOn w:val="DefaultParagraphFont"/>
    <w:link w:val="BodyText3"/>
    <w:semiHidden/>
    <w:qFormat/>
    <w:rsid w:val="002F1947"/>
    <w:rPr>
      <w:sz w:val="16"/>
      <w:szCs w:val="16"/>
    </w:rPr>
  </w:style>
  <w:style w:type="character" w:customStyle="1" w:styleId="BalloonTextChar">
    <w:name w:val="Balloon Text Char"/>
    <w:basedOn w:val="DefaultParagraphFont"/>
    <w:link w:val="BalloonText"/>
    <w:semiHidden/>
    <w:qFormat/>
    <w:rsid w:val="000F4BB1"/>
    <w:rPr>
      <w:rFonts w:ascii="Tahoma" w:hAnsi="Tahoma" w:cs="Tahoma"/>
      <w:sz w:val="16"/>
      <w:szCs w:val="16"/>
    </w:rPr>
  </w:style>
  <w:style w:type="character" w:styleId="PlaceholderText">
    <w:name w:val="Placeholder Text"/>
    <w:basedOn w:val="DefaultParagraphFont"/>
    <w:uiPriority w:val="99"/>
    <w:semiHidden/>
    <w:qFormat/>
    <w:rsid w:val="00E76267"/>
    <w:rPr>
      <w:color w:val="808080"/>
    </w:rPr>
  </w:style>
  <w:style w:type="character" w:customStyle="1" w:styleId="HeaderChar">
    <w:name w:val="Header Char"/>
    <w:basedOn w:val="DefaultParagraphFont"/>
    <w:link w:val="Header"/>
    <w:uiPriority w:val="99"/>
    <w:qFormat/>
    <w:rsid w:val="003B0560"/>
  </w:style>
  <w:style w:type="character" w:customStyle="1" w:styleId="UnresolvedMention1">
    <w:name w:val="Unresolved Mention1"/>
    <w:basedOn w:val="DefaultParagraphFont"/>
    <w:uiPriority w:val="99"/>
    <w:semiHidden/>
    <w:unhideWhenUsed/>
    <w:qFormat/>
    <w:rsid w:val="007C69AA"/>
    <w:rPr>
      <w:color w:val="605E5C"/>
      <w:shd w:val="clear" w:color="auto" w:fill="E1DFDD"/>
    </w:rPr>
  </w:style>
  <w:style w:type="character" w:styleId="CommentReference">
    <w:name w:val="annotation reference"/>
    <w:basedOn w:val="DefaultParagraphFont"/>
    <w:semiHidden/>
    <w:unhideWhenUsed/>
    <w:qFormat/>
    <w:rsid w:val="00F06BDC"/>
    <w:rPr>
      <w:sz w:val="16"/>
      <w:szCs w:val="16"/>
    </w:rPr>
  </w:style>
  <w:style w:type="character" w:customStyle="1" w:styleId="CommentTextChar">
    <w:name w:val="Comment Text Char"/>
    <w:basedOn w:val="DefaultParagraphFont"/>
    <w:link w:val="CommentText"/>
    <w:semiHidden/>
    <w:qFormat/>
    <w:rsid w:val="00F06BDC"/>
    <w:rPr>
      <w:sz w:val="20"/>
      <w:szCs w:val="20"/>
    </w:rPr>
  </w:style>
  <w:style w:type="character" w:customStyle="1" w:styleId="CommentSubjectChar">
    <w:name w:val="Comment Subject Char"/>
    <w:basedOn w:val="CommentTextChar"/>
    <w:link w:val="CommentSubject"/>
    <w:semiHidden/>
    <w:qFormat/>
    <w:rsid w:val="00F06BDC"/>
    <w:rPr>
      <w:b/>
      <w:bCs/>
      <w:sz w:val="20"/>
      <w:szCs w:val="20"/>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b/>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cs="Courier New"/>
    </w:rPr>
  </w:style>
  <w:style w:type="character" w:customStyle="1" w:styleId="ListLabel8">
    <w:name w:val="ListLabel 8"/>
    <w:qFormat/>
    <w:rPr>
      <w:b/>
    </w:rPr>
  </w:style>
  <w:style w:type="character" w:customStyle="1" w:styleId="ListLabel9">
    <w:name w:val="ListLabel 9"/>
    <w:qFormat/>
    <w:rPr>
      <w:b w:val="0"/>
      <w:bCs/>
    </w:rPr>
  </w:style>
  <w:style w:type="character" w:customStyle="1" w:styleId="ListLabel10">
    <w:name w:val="ListLabel 10"/>
    <w:qFormat/>
    <w:rPr>
      <w:rFonts w:cs="Courier New"/>
    </w:rPr>
  </w:style>
  <w:style w:type="character" w:customStyle="1" w:styleId="ListLabel11">
    <w:name w:val="ListLabel 11"/>
    <w:qFormat/>
    <w:rPr>
      <w:rFonts w:cs="Courier New"/>
    </w:rPr>
  </w:style>
  <w:style w:type="character" w:customStyle="1" w:styleId="ListLabel12">
    <w:name w:val="ListLabel 12"/>
    <w:qFormat/>
    <w:rPr>
      <w:rFonts w:cs="Courier New"/>
    </w:rPr>
  </w:style>
  <w:style w:type="character" w:customStyle="1" w:styleId="ListLabel13">
    <w:name w:val="ListLabel 13"/>
    <w:qFormat/>
    <w:rPr>
      <w:rFonts w:cs="Times New Roman"/>
    </w:rPr>
  </w:style>
  <w:style w:type="character" w:customStyle="1" w:styleId="ListLabel14">
    <w:name w:val="ListLabel 14"/>
    <w:qFormat/>
    <w:rPr>
      <w:rFonts w:cs="Times New Roman"/>
    </w:rPr>
  </w:style>
  <w:style w:type="character" w:customStyle="1" w:styleId="ListLabel15">
    <w:name w:val="ListLabel 15"/>
    <w:qFormat/>
    <w:rPr>
      <w:rFonts w:cs="Times New Roman"/>
    </w:rPr>
  </w:style>
  <w:style w:type="character" w:customStyle="1" w:styleId="ListLabel16">
    <w:name w:val="ListLabel 16"/>
    <w:qFormat/>
    <w:rPr>
      <w:rFonts w:cs="Times New Roman"/>
    </w:rPr>
  </w:style>
  <w:style w:type="character" w:customStyle="1" w:styleId="ListLabel17">
    <w:name w:val="ListLabel 17"/>
    <w:qFormat/>
    <w:rPr>
      <w:rFonts w:cs="Times New Roman"/>
    </w:rPr>
  </w:style>
  <w:style w:type="character" w:customStyle="1" w:styleId="ListLabel18">
    <w:name w:val="ListLabel 18"/>
    <w:qFormat/>
    <w:rPr>
      <w:rFonts w:cs="Times New Roman"/>
    </w:rPr>
  </w:style>
  <w:style w:type="character" w:customStyle="1" w:styleId="ListLabel19">
    <w:name w:val="ListLabel 19"/>
    <w:qFormat/>
    <w:rPr>
      <w:rFonts w:cs="Times New Roman"/>
    </w:rPr>
  </w:style>
  <w:style w:type="character" w:customStyle="1" w:styleId="ListLabel20">
    <w:name w:val="ListLabel 20"/>
    <w:qFormat/>
    <w:rPr>
      <w:rFonts w:ascii="Times New Roman" w:hAnsi="Times New Roman"/>
    </w:rPr>
  </w:style>
  <w:style w:type="character" w:customStyle="1" w:styleId="ListLabel21">
    <w:name w:val="ListLabel 21"/>
    <w:qFormat/>
    <w:rPr>
      <w:rFonts w:ascii="Times New Roman" w:eastAsiaTheme="majorEastAsia" w:hAnsi="Times New Roman"/>
    </w:rPr>
  </w:style>
  <w:style w:type="character" w:customStyle="1" w:styleId="ListLabel22">
    <w:name w:val="ListLabel 22"/>
    <w:qFormat/>
  </w:style>
  <w:style w:type="character" w:customStyle="1" w:styleId="EndnoteAnchor">
    <w:name w:val="Endnote Anchor"/>
    <w:rPr>
      <w:vertAlign w:val="superscript"/>
    </w:rPr>
  </w:style>
  <w:style w:type="character" w:customStyle="1" w:styleId="EndnoteCharacters">
    <w:name w:val="Endnote Characters"/>
    <w:qFormat/>
  </w:style>
  <w:style w:type="character" w:customStyle="1" w:styleId="ListLabel23">
    <w:name w:val="ListLabel 23"/>
    <w:qFormat/>
    <w:rPr>
      <w:b/>
    </w:rPr>
  </w:style>
  <w:style w:type="character" w:customStyle="1" w:styleId="ListLabel24">
    <w:name w:val="ListLabel 24"/>
    <w:qFormat/>
    <w:rPr>
      <w:rFonts w:ascii="Times New Roman" w:hAnsi="Times New Roman" w:cs="Symbol"/>
    </w:rPr>
  </w:style>
  <w:style w:type="character" w:customStyle="1" w:styleId="ListLabel25">
    <w:name w:val="ListLabel 25"/>
    <w:qFormat/>
    <w:rPr>
      <w:rFonts w:cs="Courier New"/>
    </w:rPr>
  </w:style>
  <w:style w:type="character" w:customStyle="1" w:styleId="ListLabel26">
    <w:name w:val="ListLabel 26"/>
    <w:qFormat/>
    <w:rPr>
      <w:rFonts w:cs="Wingdings"/>
    </w:rPr>
  </w:style>
  <w:style w:type="character" w:customStyle="1" w:styleId="ListLabel27">
    <w:name w:val="ListLabel 27"/>
    <w:qFormat/>
    <w:rPr>
      <w:rFonts w:cs="Symbol"/>
    </w:rPr>
  </w:style>
  <w:style w:type="character" w:customStyle="1" w:styleId="ListLabel28">
    <w:name w:val="ListLabel 28"/>
    <w:qFormat/>
    <w:rPr>
      <w:rFonts w:cs="Courier New"/>
    </w:rPr>
  </w:style>
  <w:style w:type="character" w:customStyle="1" w:styleId="ListLabel29">
    <w:name w:val="ListLabel 29"/>
    <w:qFormat/>
    <w:rPr>
      <w:rFonts w:cs="Wingdings"/>
    </w:rPr>
  </w:style>
  <w:style w:type="character" w:customStyle="1" w:styleId="ListLabel30">
    <w:name w:val="ListLabel 30"/>
    <w:qFormat/>
    <w:rPr>
      <w:rFonts w:cs="Symbol"/>
    </w:rPr>
  </w:style>
  <w:style w:type="character" w:customStyle="1" w:styleId="ListLabel31">
    <w:name w:val="ListLabel 31"/>
    <w:qFormat/>
    <w:rPr>
      <w:rFonts w:cs="Courier New"/>
    </w:rPr>
  </w:style>
  <w:style w:type="character" w:customStyle="1" w:styleId="ListLabel32">
    <w:name w:val="ListLabel 32"/>
    <w:qFormat/>
    <w:rPr>
      <w:rFonts w:cs="Wingdings"/>
    </w:rPr>
  </w:style>
  <w:style w:type="character" w:customStyle="1" w:styleId="ListLabel33">
    <w:name w:val="ListLabel 33"/>
    <w:qFormat/>
    <w:rPr>
      <w:b/>
    </w:rPr>
  </w:style>
  <w:style w:type="character" w:customStyle="1" w:styleId="ListLabel34">
    <w:name w:val="ListLabel 34"/>
    <w:qFormat/>
    <w:rPr>
      <w:rFonts w:cs="Symbol"/>
    </w:rPr>
  </w:style>
  <w:style w:type="character" w:customStyle="1" w:styleId="ListLabel35">
    <w:name w:val="ListLabel 35"/>
    <w:qFormat/>
    <w:rPr>
      <w:rFonts w:ascii="Times New Roman" w:hAnsi="Times New Roman"/>
      <w:b w:val="0"/>
      <w:bCs/>
    </w:rPr>
  </w:style>
  <w:style w:type="character" w:customStyle="1" w:styleId="ListLabel36">
    <w:name w:val="ListLabel 36"/>
    <w:qFormat/>
    <w:rPr>
      <w:rFonts w:ascii="Times New Roman" w:hAnsi="Times New Roman" w:cs="Symbol"/>
    </w:rPr>
  </w:style>
  <w:style w:type="character" w:customStyle="1" w:styleId="ListLabel37">
    <w:name w:val="ListLabel 37"/>
    <w:qFormat/>
    <w:rPr>
      <w:rFonts w:cs="Courier New"/>
    </w:rPr>
  </w:style>
  <w:style w:type="character" w:customStyle="1" w:styleId="ListLabel38">
    <w:name w:val="ListLabel 38"/>
    <w:qFormat/>
    <w:rPr>
      <w:rFonts w:cs="Wingdings"/>
    </w:rPr>
  </w:style>
  <w:style w:type="character" w:customStyle="1" w:styleId="ListLabel39">
    <w:name w:val="ListLabel 39"/>
    <w:qFormat/>
    <w:rPr>
      <w:rFonts w:cs="Symbol"/>
    </w:rPr>
  </w:style>
  <w:style w:type="character" w:customStyle="1" w:styleId="ListLabel40">
    <w:name w:val="ListLabel 40"/>
    <w:qFormat/>
    <w:rPr>
      <w:rFonts w:cs="Courier New"/>
    </w:rPr>
  </w:style>
  <w:style w:type="character" w:customStyle="1" w:styleId="ListLabel41">
    <w:name w:val="ListLabel 41"/>
    <w:qFormat/>
    <w:rPr>
      <w:rFonts w:cs="Wingdings"/>
    </w:rPr>
  </w:style>
  <w:style w:type="character" w:customStyle="1" w:styleId="ListLabel42">
    <w:name w:val="ListLabel 42"/>
    <w:qFormat/>
    <w:rPr>
      <w:rFonts w:cs="Symbol"/>
    </w:rPr>
  </w:style>
  <w:style w:type="character" w:customStyle="1" w:styleId="ListLabel43">
    <w:name w:val="ListLabel 43"/>
    <w:qFormat/>
    <w:rPr>
      <w:rFonts w:cs="Courier New"/>
    </w:rPr>
  </w:style>
  <w:style w:type="character" w:customStyle="1" w:styleId="ListLabel44">
    <w:name w:val="ListLabel 44"/>
    <w:qFormat/>
    <w:rPr>
      <w:rFonts w:cs="Wingdings"/>
    </w:rPr>
  </w:style>
  <w:style w:type="character" w:customStyle="1" w:styleId="ListLabel45">
    <w:name w:val="ListLabel 45"/>
    <w:qFormat/>
    <w:rPr>
      <w:rFonts w:ascii="Times New Roman" w:hAnsi="Times New Roman" w:cs="Symbol"/>
    </w:rPr>
  </w:style>
  <w:style w:type="character" w:customStyle="1" w:styleId="ListLabel46">
    <w:name w:val="ListLabel 46"/>
    <w:qFormat/>
    <w:rPr>
      <w:rFonts w:cs="Times New Roman"/>
    </w:rPr>
  </w:style>
  <w:style w:type="character" w:customStyle="1" w:styleId="ListLabel47">
    <w:name w:val="ListLabel 47"/>
    <w:qFormat/>
    <w:rPr>
      <w:rFonts w:cs="Times New Roman"/>
    </w:rPr>
  </w:style>
  <w:style w:type="character" w:customStyle="1" w:styleId="ListLabel48">
    <w:name w:val="ListLabel 48"/>
    <w:qFormat/>
    <w:rPr>
      <w:rFonts w:cs="Times New Roman"/>
    </w:rPr>
  </w:style>
  <w:style w:type="character" w:customStyle="1" w:styleId="ListLabel49">
    <w:name w:val="ListLabel 49"/>
    <w:qFormat/>
    <w:rPr>
      <w:rFonts w:cs="Times New Roman"/>
    </w:rPr>
  </w:style>
  <w:style w:type="character" w:customStyle="1" w:styleId="ListLabel50">
    <w:name w:val="ListLabel 50"/>
    <w:qFormat/>
    <w:rPr>
      <w:rFonts w:cs="Times New Roman"/>
    </w:rPr>
  </w:style>
  <w:style w:type="character" w:customStyle="1" w:styleId="ListLabel51">
    <w:name w:val="ListLabel 51"/>
    <w:qFormat/>
    <w:rPr>
      <w:rFonts w:cs="Times New Roman"/>
    </w:rPr>
  </w:style>
  <w:style w:type="character" w:customStyle="1" w:styleId="ListLabel52">
    <w:name w:val="ListLabel 52"/>
    <w:qFormat/>
    <w:rPr>
      <w:rFonts w:cs="Times New Roman"/>
    </w:rPr>
  </w:style>
  <w:style w:type="character" w:customStyle="1" w:styleId="ListLabel53">
    <w:name w:val="ListLabel 53"/>
    <w:qFormat/>
    <w:rPr>
      <w:rFonts w:ascii="Times New Roman" w:hAnsi="Times New Roman" w:cs="Symbol"/>
    </w:rPr>
  </w:style>
  <w:style w:type="character" w:customStyle="1" w:styleId="ListLabel54">
    <w:name w:val="ListLabel 54"/>
    <w:qFormat/>
    <w:rPr>
      <w:rFonts w:cs="Courier New"/>
    </w:rPr>
  </w:style>
  <w:style w:type="character" w:customStyle="1" w:styleId="ListLabel55">
    <w:name w:val="ListLabel 55"/>
    <w:qFormat/>
    <w:rPr>
      <w:rFonts w:cs="Wingdings"/>
    </w:rPr>
  </w:style>
  <w:style w:type="character" w:customStyle="1" w:styleId="ListLabel56">
    <w:name w:val="ListLabel 56"/>
    <w:qFormat/>
    <w:rPr>
      <w:rFonts w:cs="Symbol"/>
    </w:rPr>
  </w:style>
  <w:style w:type="character" w:customStyle="1" w:styleId="ListLabel57">
    <w:name w:val="ListLabel 57"/>
    <w:qFormat/>
    <w:rPr>
      <w:rFonts w:cs="Courier New"/>
    </w:rPr>
  </w:style>
  <w:style w:type="character" w:customStyle="1" w:styleId="ListLabel58">
    <w:name w:val="ListLabel 58"/>
    <w:qFormat/>
    <w:rPr>
      <w:rFonts w:cs="Wingdings"/>
    </w:rPr>
  </w:style>
  <w:style w:type="character" w:customStyle="1" w:styleId="ListLabel59">
    <w:name w:val="ListLabel 59"/>
    <w:qFormat/>
    <w:rPr>
      <w:rFonts w:cs="Symbol"/>
    </w:rPr>
  </w:style>
  <w:style w:type="character" w:customStyle="1" w:styleId="ListLabel60">
    <w:name w:val="ListLabel 60"/>
    <w:qFormat/>
    <w:rPr>
      <w:rFonts w:cs="Courier New"/>
    </w:rPr>
  </w:style>
  <w:style w:type="character" w:customStyle="1" w:styleId="ListLabel61">
    <w:name w:val="ListLabel 61"/>
    <w:qFormat/>
    <w:rPr>
      <w:rFonts w:cs="Wingdings"/>
    </w:rPr>
  </w:style>
  <w:style w:type="character" w:customStyle="1" w:styleId="ListLabel62">
    <w:name w:val="ListLabel 62"/>
    <w:qFormat/>
    <w:rPr>
      <w:rFonts w:cs="Courier New"/>
    </w:rPr>
  </w:style>
  <w:style w:type="character" w:customStyle="1" w:styleId="ListLabel63">
    <w:name w:val="ListLabel 63"/>
    <w:qFormat/>
    <w:rPr>
      <w:rFonts w:cs="Courier New"/>
    </w:rPr>
  </w:style>
  <w:style w:type="character" w:customStyle="1" w:styleId="ListLabel64">
    <w:name w:val="ListLabel 64"/>
    <w:qFormat/>
    <w:rPr>
      <w:rFonts w:cs="Courier New"/>
    </w:rPr>
  </w:style>
  <w:style w:type="character" w:customStyle="1" w:styleId="ListLabel65">
    <w:name w:val="ListLabel 65"/>
    <w:qFormat/>
    <w:rPr>
      <w:rFonts w:ascii="Times New Roman" w:hAnsi="Times New Roman"/>
    </w:rPr>
  </w:style>
  <w:style w:type="character" w:customStyle="1" w:styleId="ListLabel66">
    <w:name w:val="ListLabel 66"/>
    <w:qFormat/>
    <w:rPr>
      <w:rFonts w:ascii="Times New Roman" w:eastAsiaTheme="majorEastAsia" w:hAnsi="Times New Roman"/>
    </w:rPr>
  </w:style>
  <w:style w:type="character" w:customStyle="1" w:styleId="ListLabel67">
    <w:name w:val="ListLabel 67"/>
    <w:qFormat/>
    <w:rPr>
      <w:rFonts w:ascii="Times New Roman" w:hAnsi="Times New Roman"/>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before="0" w:after="140" w:line="276" w:lineRule="auto"/>
    </w:pPr>
  </w:style>
  <w:style w:type="paragraph" w:styleId="List">
    <w:name w:val="List"/>
    <w:basedOn w:val="BodyText"/>
    <w:rPr>
      <w:rFonts w:cs="Arial"/>
    </w:rPr>
  </w:style>
  <w:style w:type="paragraph" w:styleId="Caption">
    <w:name w:val="caption"/>
    <w:basedOn w:val="Normal"/>
    <w:next w:val="Normal"/>
    <w:uiPriority w:val="35"/>
    <w:qFormat/>
    <w:rsid w:val="00023F88"/>
    <w:pPr>
      <w:spacing w:after="400" w:line="240" w:lineRule="auto"/>
    </w:pPr>
    <w:rPr>
      <w:iCs/>
      <w:color w:val="000000" w:themeColor="text2"/>
      <w:sz w:val="20"/>
      <w:szCs w:val="20"/>
    </w:rPr>
  </w:style>
  <w:style w:type="paragraph" w:customStyle="1" w:styleId="Index">
    <w:name w:val="Index"/>
    <w:basedOn w:val="Normal"/>
    <w:qFormat/>
    <w:pPr>
      <w:suppressLineNumbers/>
    </w:pPr>
    <w:rPr>
      <w:rFonts w:cs="Arial"/>
    </w:rPr>
  </w:style>
  <w:style w:type="paragraph" w:customStyle="1" w:styleId="NoParagraphStyle">
    <w:name w:val="[No Paragraph Style]"/>
    <w:semiHidden/>
    <w:qFormat/>
    <w:rsid w:val="001E5ECF"/>
    <w:pPr>
      <w:spacing w:line="288" w:lineRule="auto"/>
      <w:textAlignment w:val="center"/>
    </w:pPr>
    <w:rPr>
      <w:rFonts w:ascii="Century Gothic" w:hAnsi="Century Gothic"/>
      <w:color w:val="000000"/>
      <w:sz w:val="24"/>
      <w:szCs w:val="24"/>
      <w:lang w:bidi="ar-SA"/>
    </w:rPr>
  </w:style>
  <w:style w:type="paragraph" w:customStyle="1" w:styleId="BasicParagraph">
    <w:name w:val="[Basic Paragraph]"/>
    <w:basedOn w:val="NoParagraphStyle"/>
    <w:uiPriority w:val="99"/>
    <w:semiHidden/>
    <w:qFormat/>
    <w:rsid w:val="001E5ECF"/>
    <w:pPr>
      <w:spacing w:line="250" w:lineRule="atLeast"/>
    </w:pPr>
    <w:rPr>
      <w:rFonts w:ascii="Adobe Caslon Pro" w:hAnsi="Adobe Caslon Pro" w:cs="Adobe Caslon Pro"/>
      <w:sz w:val="22"/>
      <w:szCs w:val="22"/>
    </w:rPr>
  </w:style>
  <w:style w:type="paragraph" w:styleId="FootnoteText">
    <w:name w:val="footnote text"/>
    <w:basedOn w:val="Normal"/>
    <w:link w:val="FootnoteTextChar"/>
    <w:semiHidden/>
    <w:rsid w:val="001E5ECF"/>
    <w:pPr>
      <w:spacing w:before="0" w:line="240" w:lineRule="auto"/>
    </w:pPr>
  </w:style>
  <w:style w:type="paragraph" w:styleId="IntenseQuote">
    <w:name w:val="Intense Quote"/>
    <w:basedOn w:val="Normal"/>
    <w:next w:val="Normal"/>
    <w:link w:val="IntenseQuoteChar"/>
    <w:uiPriority w:val="30"/>
    <w:qFormat/>
    <w:rsid w:val="00023F88"/>
    <w:pPr>
      <w:spacing w:before="360" w:after="360"/>
      <w:ind w:left="864" w:right="864"/>
      <w:jc w:val="center"/>
    </w:pPr>
    <w:rPr>
      <w:rFonts w:asciiTheme="minorHAnsi" w:hAnsiTheme="minorHAnsi"/>
      <w:i/>
      <w:iCs/>
      <w:color w:val="003865" w:themeColor="accent1"/>
      <w:sz w:val="26"/>
      <w:szCs w:val="26"/>
      <w:lang w:bidi="ar-SA"/>
    </w:rPr>
  </w:style>
  <w:style w:type="paragraph" w:styleId="ListNumber">
    <w:name w:val="List Number"/>
    <w:basedOn w:val="Normal"/>
    <w:semiHidden/>
    <w:qFormat/>
    <w:rsid w:val="00FC57BE"/>
  </w:style>
  <w:style w:type="paragraph" w:styleId="Quote">
    <w:name w:val="Quote"/>
    <w:basedOn w:val="Normal"/>
    <w:next w:val="Normal"/>
    <w:link w:val="QuoteChar"/>
    <w:uiPriority w:val="29"/>
    <w:qFormat/>
    <w:rsid w:val="006632F3"/>
    <w:pPr>
      <w:spacing w:after="160"/>
      <w:ind w:left="864" w:right="864"/>
      <w:jc w:val="center"/>
    </w:pPr>
    <w:rPr>
      <w:rFonts w:asciiTheme="minorHAnsi" w:hAnsiTheme="minorHAnsi"/>
      <w:i/>
      <w:iCs/>
      <w:lang w:bidi="ar-SA"/>
    </w:rPr>
  </w:style>
  <w:style w:type="paragraph" w:customStyle="1" w:styleId="TitleTitleandSubtitles">
    <w:name w:val="Title (Title and Subtitles)"/>
    <w:basedOn w:val="Normal"/>
    <w:uiPriority w:val="99"/>
    <w:semiHidden/>
    <w:qFormat/>
    <w:rsid w:val="001E5ECF"/>
    <w:pPr>
      <w:spacing w:before="60" w:line="560" w:lineRule="atLeast"/>
      <w:textAlignment w:val="center"/>
    </w:pPr>
    <w:rPr>
      <w:rFonts w:ascii="Century Gothic" w:hAnsi="Century Gothic" w:cs="Century Gothic"/>
      <w:caps/>
      <w:color w:val="12457A"/>
      <w:spacing w:val="10"/>
      <w:w w:val="90"/>
      <w:sz w:val="44"/>
      <w:szCs w:val="44"/>
    </w:rPr>
  </w:style>
  <w:style w:type="paragraph" w:customStyle="1" w:styleId="SubtitleTitleandSubtitles">
    <w:name w:val="Subtitle (Title and Subtitles)"/>
    <w:basedOn w:val="TitleTitleandSubtitles"/>
    <w:uiPriority w:val="99"/>
    <w:semiHidden/>
    <w:qFormat/>
    <w:rsid w:val="001E5ECF"/>
    <w:pPr>
      <w:spacing w:line="300" w:lineRule="atLeast"/>
    </w:pPr>
    <w:rPr>
      <w:caps w:val="0"/>
      <w:color w:val="694C37"/>
      <w:spacing w:val="7"/>
      <w:sz w:val="24"/>
      <w:szCs w:val="24"/>
    </w:rPr>
  </w:style>
  <w:style w:type="paragraph" w:styleId="Title">
    <w:name w:val="Title"/>
    <w:basedOn w:val="Normal"/>
    <w:next w:val="Normal"/>
    <w:link w:val="TitleChar"/>
    <w:uiPriority w:val="10"/>
    <w:qFormat/>
    <w:rsid w:val="001E5ECF"/>
    <w:pPr>
      <w:spacing w:line="240" w:lineRule="auto"/>
      <w:contextualSpacing/>
      <w:jc w:val="right"/>
    </w:pPr>
    <w:rPr>
      <w:rFonts w:eastAsiaTheme="majorEastAsia" w:cstheme="majorBidi"/>
      <w:spacing w:val="5"/>
      <w:sz w:val="52"/>
      <w:szCs w:val="52"/>
    </w:rPr>
  </w:style>
  <w:style w:type="paragraph" w:styleId="TOCHeading">
    <w:name w:val="TOC Heading"/>
    <w:next w:val="Normal"/>
    <w:uiPriority w:val="39"/>
    <w:semiHidden/>
    <w:unhideWhenUsed/>
    <w:qFormat/>
    <w:rsid w:val="001E5ECF"/>
    <w:pPr>
      <w:keepNext/>
      <w:keepLines/>
      <w:spacing w:before="480"/>
    </w:pPr>
    <w:rPr>
      <w:rFonts w:asciiTheme="majorHAnsi" w:eastAsiaTheme="majorEastAsia" w:hAnsiTheme="majorHAnsi" w:cstheme="majorBidi"/>
      <w:b/>
      <w:bCs/>
      <w:color w:val="00294B" w:themeColor="accent1" w:themeShade="BF"/>
      <w:sz w:val="28"/>
      <w:szCs w:val="28"/>
    </w:rPr>
  </w:style>
  <w:style w:type="paragraph" w:styleId="Footer">
    <w:name w:val="footer"/>
    <w:basedOn w:val="Normal"/>
    <w:link w:val="FooterChar"/>
    <w:uiPriority w:val="99"/>
    <w:qFormat/>
    <w:rsid w:val="006632F3"/>
    <w:pPr>
      <w:tabs>
        <w:tab w:val="right" w:pos="10080"/>
      </w:tabs>
      <w:spacing w:before="0" w:line="336" w:lineRule="auto"/>
    </w:pPr>
  </w:style>
  <w:style w:type="paragraph" w:customStyle="1" w:styleId="Boldcharacter">
    <w:name w:val="Bold character"/>
    <w:basedOn w:val="Normal"/>
    <w:link w:val="BoldcharacterChar"/>
    <w:autoRedefine/>
    <w:semiHidden/>
    <w:qFormat/>
    <w:rsid w:val="002F1947"/>
    <w:pPr>
      <w:spacing w:line="280" w:lineRule="exact"/>
      <w:contextualSpacing/>
    </w:pPr>
    <w:rPr>
      <w:b/>
      <w:lang w:val="en-GB"/>
    </w:rPr>
  </w:style>
  <w:style w:type="paragraph" w:customStyle="1" w:styleId="BodytextClosingname">
    <w:name w:val="Body text Closing name"/>
    <w:basedOn w:val="Normal"/>
    <w:semiHidden/>
    <w:qFormat/>
    <w:rsid w:val="002F1947"/>
    <w:pPr>
      <w:spacing w:before="1080" w:after="240"/>
      <w:contextualSpacing/>
    </w:pPr>
  </w:style>
  <w:style w:type="paragraph" w:customStyle="1" w:styleId="BodytextDate">
    <w:name w:val="Body text Date"/>
    <w:basedOn w:val="Normal"/>
    <w:semiHidden/>
    <w:qFormat/>
    <w:rsid w:val="002F1947"/>
    <w:pPr>
      <w:spacing w:before="0" w:after="480"/>
      <w:contextualSpacing/>
    </w:pPr>
  </w:style>
  <w:style w:type="paragraph" w:customStyle="1" w:styleId="BodytextSalutation">
    <w:name w:val="Body text Salutation"/>
    <w:basedOn w:val="Normal"/>
    <w:semiHidden/>
    <w:qFormat/>
    <w:rsid w:val="002F1947"/>
    <w:pPr>
      <w:spacing w:before="480" w:after="240"/>
      <w:contextualSpacing/>
    </w:pPr>
  </w:style>
  <w:style w:type="paragraph" w:styleId="Closing">
    <w:name w:val="Closing"/>
    <w:basedOn w:val="Normal"/>
    <w:link w:val="ClosingChar"/>
    <w:semiHidden/>
    <w:qFormat/>
    <w:rsid w:val="002F1947"/>
    <w:pPr>
      <w:spacing w:before="240"/>
    </w:pPr>
  </w:style>
  <w:style w:type="paragraph" w:styleId="BodyText3">
    <w:name w:val="Body Text 3"/>
    <w:link w:val="BodyText3Char"/>
    <w:semiHidden/>
    <w:qFormat/>
    <w:rsid w:val="002F1947"/>
    <w:pPr>
      <w:widowControl w:val="0"/>
    </w:pPr>
    <w:rPr>
      <w:sz w:val="16"/>
      <w:szCs w:val="16"/>
    </w:rPr>
  </w:style>
  <w:style w:type="paragraph" w:styleId="BalloonText">
    <w:name w:val="Balloon Text"/>
    <w:basedOn w:val="Normal"/>
    <w:link w:val="BalloonTextChar"/>
    <w:semiHidden/>
    <w:qFormat/>
    <w:rsid w:val="000F4BB1"/>
    <w:pPr>
      <w:spacing w:before="0" w:line="240" w:lineRule="auto"/>
    </w:pPr>
    <w:rPr>
      <w:rFonts w:ascii="Tahoma" w:hAnsi="Tahoma" w:cs="Tahoma"/>
      <w:sz w:val="16"/>
      <w:szCs w:val="16"/>
    </w:rPr>
  </w:style>
  <w:style w:type="paragraph" w:styleId="NormalWeb">
    <w:name w:val="Normal (Web)"/>
    <w:basedOn w:val="Normal"/>
    <w:uiPriority w:val="99"/>
    <w:semiHidden/>
    <w:unhideWhenUsed/>
    <w:qFormat/>
    <w:rsid w:val="00963BA0"/>
    <w:pPr>
      <w:spacing w:beforeAutospacing="1" w:afterAutospacing="1" w:line="240" w:lineRule="auto"/>
    </w:pPr>
    <w:rPr>
      <w:rFonts w:ascii="Times New Roman" w:hAnsi="Times New Roman"/>
      <w:sz w:val="24"/>
      <w:szCs w:val="24"/>
      <w:lang w:bidi="ar-SA"/>
    </w:rPr>
  </w:style>
  <w:style w:type="paragraph" w:styleId="ListParagraph">
    <w:name w:val="List Paragraph"/>
    <w:basedOn w:val="Normal"/>
    <w:uiPriority w:val="34"/>
    <w:qFormat/>
    <w:rsid w:val="00023F88"/>
    <w:pPr>
      <w:contextualSpacing/>
    </w:pPr>
  </w:style>
  <w:style w:type="paragraph" w:styleId="Header">
    <w:name w:val="header"/>
    <w:basedOn w:val="Normal"/>
    <w:link w:val="HeaderChar"/>
    <w:uiPriority w:val="99"/>
    <w:unhideWhenUsed/>
    <w:rsid w:val="003B0560"/>
    <w:pPr>
      <w:tabs>
        <w:tab w:val="center" w:pos="4680"/>
        <w:tab w:val="right" w:pos="9360"/>
      </w:tabs>
      <w:spacing w:before="0" w:after="0" w:line="240" w:lineRule="auto"/>
    </w:pPr>
  </w:style>
  <w:style w:type="paragraph" w:customStyle="1" w:styleId="yiv8815607735msolistparagraph">
    <w:name w:val="yiv8815607735msolistparagraph"/>
    <w:basedOn w:val="Normal"/>
    <w:qFormat/>
    <w:rsid w:val="008A01B4"/>
    <w:pPr>
      <w:spacing w:beforeAutospacing="1" w:afterAutospacing="1" w:line="240" w:lineRule="auto"/>
    </w:pPr>
    <w:rPr>
      <w:rFonts w:eastAsiaTheme="minorHAnsi" w:cs="Calibri"/>
      <w:lang w:bidi="ar-SA"/>
    </w:rPr>
  </w:style>
  <w:style w:type="paragraph" w:styleId="CommentText">
    <w:name w:val="annotation text"/>
    <w:basedOn w:val="Normal"/>
    <w:link w:val="CommentTextChar"/>
    <w:semiHidden/>
    <w:unhideWhenUsed/>
    <w:qFormat/>
    <w:rsid w:val="00F06BDC"/>
    <w:pPr>
      <w:spacing w:line="240" w:lineRule="auto"/>
    </w:pPr>
    <w:rPr>
      <w:sz w:val="20"/>
      <w:szCs w:val="20"/>
    </w:rPr>
  </w:style>
  <w:style w:type="paragraph" w:styleId="CommentSubject">
    <w:name w:val="annotation subject"/>
    <w:basedOn w:val="CommentText"/>
    <w:next w:val="CommentText"/>
    <w:link w:val="CommentSubjectChar"/>
    <w:semiHidden/>
    <w:unhideWhenUsed/>
    <w:qFormat/>
    <w:rsid w:val="00F06BDC"/>
    <w:rPr>
      <w:b/>
      <w:bCs/>
    </w:rPr>
  </w:style>
  <w:style w:type="paragraph" w:customStyle="1" w:styleId="FrameContents">
    <w:name w:val="Frame Contents"/>
    <w:basedOn w:val="Normal"/>
    <w:qFormat/>
  </w:style>
  <w:style w:type="table" w:styleId="TableGrid">
    <w:name w:val="Table Grid"/>
    <w:basedOn w:val="TableNormal"/>
    <w:uiPriority w:val="39"/>
    <w:rsid w:val="001E5ECF"/>
    <w:tblPr>
      <w:tblBorders>
        <w:top w:val="single" w:sz="4" w:space="0" w:color="003865" w:themeColor="text1"/>
        <w:left w:val="single" w:sz="4" w:space="0" w:color="003865" w:themeColor="text1"/>
        <w:bottom w:val="single" w:sz="4" w:space="0" w:color="003865" w:themeColor="text1"/>
        <w:right w:val="single" w:sz="4" w:space="0" w:color="003865" w:themeColor="text1"/>
        <w:insideH w:val="single" w:sz="4" w:space="0" w:color="003865" w:themeColor="text1"/>
        <w:insideV w:val="single" w:sz="4" w:space="0" w:color="003865" w:themeColor="text1"/>
      </w:tblBorders>
    </w:tblPr>
  </w:style>
  <w:style w:type="table" w:styleId="TableGrid8">
    <w:name w:val="Table Grid 8"/>
    <w:basedOn w:val="TableNormal"/>
    <w:rsid w:val="001E5ECF"/>
    <w:rPr>
      <w:lang w:bidi="ar-S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Grid1">
    <w:name w:val="Table Grid1"/>
    <w:basedOn w:val="TableNormal"/>
    <w:uiPriority w:val="59"/>
    <w:rsid w:val="000E3640"/>
    <w:rPr>
      <w:szCs w:val="20"/>
    </w:rPr>
    <w:tblPr>
      <w:tblStyleRow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FFF" w:themeFill="background1"/>
    </w:tcPr>
    <w:tblStylePr w:type="firstRow">
      <w:pPr>
        <w:jc w:val="center"/>
      </w:pPr>
      <w:rPr>
        <w:b/>
        <w:sz w:val="22"/>
      </w:rPr>
      <w:tblPr/>
      <w:tcPr>
        <w:shd w:val="clear" w:color="auto" w:fill="D9D9D9" w:themeFill="background1" w:themeFillShade="D9"/>
      </w:tcPr>
    </w:tblStylePr>
    <w:tblStylePr w:type="band1Horz">
      <w:tblPr/>
      <w:tcPr>
        <w:tc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l2br w:val="nil"/>
          <w:tr2bl w:val="nil"/>
        </w:tcBorders>
        <w:shd w:val="clear" w:color="auto" w:fill="F2F2F2" w:themeFill="background1" w:themeFillShade="F2"/>
      </w:tcPr>
    </w:tblStylePr>
    <w:tblStylePr w:type="band2Horz">
      <w:tblPr/>
      <w:tcPr>
        <w:tc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cBorders>
        <w:shd w:val="clear" w:color="auto" w:fill="FFFFFF" w:themeFill="background1"/>
      </w:tcPr>
    </w:tblStylePr>
  </w:style>
  <w:style w:type="table" w:styleId="PlainTable1">
    <w:name w:val="Plain Table 1"/>
    <w:basedOn w:val="TableNormal"/>
    <w:uiPriority w:val="41"/>
    <w:rsid w:val="001C55E0"/>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blStylePr w:type="firstRow">
      <w:rPr>
        <w:b/>
        <w:bCs/>
      </w:rPr>
    </w:tblStylePr>
    <w:tblStylePr w:type="lastRow">
      <w:rPr>
        <w:b/>
        <w:bCs/>
      </w:rPr>
      <w:tblPr/>
      <w:tcPr>
        <w:tcBorders>
          <w:top w:val="double" w:sz="4" w:space="0" w:color="FFFFFF" w:themeColor="background1"/>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0093503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87574055">
      <w:bodyDiv w:val="1"/>
      <w:marLeft w:val="0"/>
      <w:marRight w:val="0"/>
      <w:marTop w:val="0"/>
      <w:marBottom w:val="0"/>
      <w:divBdr>
        <w:top w:val="none" w:sz="0" w:space="0" w:color="auto"/>
        <w:left w:val="none" w:sz="0" w:space="0" w:color="auto"/>
        <w:bottom w:val="none" w:sz="0" w:space="0" w:color="auto"/>
        <w:right w:val="none" w:sz="0" w:space="0" w:color="auto"/>
      </w:divBdr>
    </w:div>
    <w:div w:id="1160851118">
      <w:bodyDiv w:val="1"/>
      <w:marLeft w:val="0"/>
      <w:marRight w:val="0"/>
      <w:marTop w:val="0"/>
      <w:marBottom w:val="0"/>
      <w:divBdr>
        <w:top w:val="none" w:sz="0" w:space="0" w:color="auto"/>
        <w:left w:val="none" w:sz="0" w:space="0" w:color="auto"/>
        <w:bottom w:val="none" w:sz="0" w:space="0" w:color="auto"/>
        <w:right w:val="none" w:sz="0" w:space="0" w:color="auto"/>
      </w:divBdr>
    </w:div>
    <w:div w:id="18033815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azarian@utep.edu" TargetMode="External"/><Relationship Id="rId13" Type="http://schemas.openxmlformats.org/officeDocument/2006/relationships/image" Target="media/image2.pn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7.png"/><Relationship Id="rId7" Type="http://schemas.openxmlformats.org/officeDocument/2006/relationships/endnotes" Target="endnotes.xml"/><Relationship Id="rId12" Type="http://schemas.openxmlformats.org/officeDocument/2006/relationships/hyperlink" Target="https://www.proceq.com/uploads/tx_proceqproductcms/import_" TargetMode="External"/><Relationship Id="rId17" Type="http://schemas.openxmlformats.org/officeDocument/2006/relationships/image" Target="media/image4.emf"/><Relationship Id="rId2" Type="http://schemas.openxmlformats.org/officeDocument/2006/relationships/numbering" Target="numbering.xml"/><Relationship Id="rId16" Type="http://schemas.openxmlformats.org/officeDocument/2006/relationships/image" Target="media/image3.emf"/><Relationship Id="rId20"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eophysical.com/products/pavescan-rdm"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dropbox.com/s/%205lfcy14q936f5ex/Sotelo%20Thesis.pdf?dl=0" TargetMode="External"/><Relationship Id="rId23"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bakergrd@cs.com" TargetMode="External"/><Relationship Id="rId14" Type="http://schemas.openxmlformats.org/officeDocument/2006/relationships/hyperlink" Target="https://geometrics.com/wp-content/uploads/2018/10/OhmMapper_Spec_Sheet.pdf" TargetMode="External"/><Relationship Id="rId22"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State of Minnesota">
  <a:themeElements>
    <a:clrScheme name="Minnesota Brand Colors">
      <a:dk1>
        <a:srgbClr val="003865"/>
      </a:dk1>
      <a:lt1>
        <a:srgbClr val="FFFFFF"/>
      </a:lt1>
      <a:dk2>
        <a:srgbClr val="000000"/>
      </a:dk2>
      <a:lt2>
        <a:srgbClr val="DDDDDA"/>
      </a:lt2>
      <a:accent1>
        <a:srgbClr val="003865"/>
      </a:accent1>
      <a:accent2>
        <a:srgbClr val="78BE21"/>
      </a:accent2>
      <a:accent3>
        <a:srgbClr val="008EAA"/>
      </a:accent3>
      <a:accent4>
        <a:srgbClr val="8D3F2B"/>
      </a:accent4>
      <a:accent5>
        <a:srgbClr val="0D5257"/>
      </a:accent5>
      <a:accent6>
        <a:srgbClr val="5D295F"/>
      </a:accent6>
      <a:hlink>
        <a:srgbClr val="0563C1"/>
      </a:hlink>
      <a:folHlink>
        <a:srgbClr val="5D295F"/>
      </a:folHlink>
    </a:clrScheme>
    <a:fontScheme name="MN Secondary Fonts">
      <a:majorFont>
        <a:latin typeface="Calibri"/>
        <a:ea typeface=""/>
        <a:cs typeface=""/>
      </a:majorFont>
      <a:minorFont>
        <a:latin typeface="Calibri"/>
        <a:ea typeface=""/>
        <a:cs typeface=""/>
      </a:minorFont>
    </a:fontScheme>
    <a:fmtScheme name="Subtle Solids">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2700" h="25400" prst="coolSlant"/>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State of Minnesota" id="{FBFFE991-EC03-4C0A-BAED-2F712C2A7AE7}" vid="{A476B202-42F1-4399-9BC8-98609D88DE2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D2343F-B77C-41A3-BFE7-8D2E3AA330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4645</Words>
  <Characters>26477</Characters>
  <Application>Microsoft Office Word</Application>
  <DocSecurity>0</DocSecurity>
  <Lines>220</Lines>
  <Paragraphs>62</Paragraphs>
  <ScaleCrop>false</ScaleCrop>
  <HeadingPairs>
    <vt:vector size="2" baseType="variant">
      <vt:variant>
        <vt:lpstr>Title</vt:lpstr>
      </vt:variant>
      <vt:variant>
        <vt:i4>1</vt:i4>
      </vt:variant>
    </vt:vector>
  </HeadingPairs>
  <TitlesOfParts>
    <vt:vector size="1" baseType="lpstr">
      <vt:lpstr>Talking Points Template</vt:lpstr>
    </vt:vector>
  </TitlesOfParts>
  <Company/>
  <LinksUpToDate>false</LinksUpToDate>
  <CharactersWithSpaces>31060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Talking Points Template</dc:title>
  <dc:subject>Template</dc:subject>
  <dc:creator>Glenn Engstrom</dc:creator>
  <cp:keywords>talking points template</cp:keywords>
  <dc:description>Document template version 1.2, Released 4-2017</dc:description>
  <cp:lastModifiedBy>Nazarian, Soheil</cp:lastModifiedBy>
  <cp:revision>2</cp:revision>
  <cp:lastPrinted>2019-08-01T20:15:00Z</cp:lastPrinted>
  <dcterms:created xsi:type="dcterms:W3CDTF">2020-11-09T01:00:00Z</dcterms:created>
  <dcterms:modified xsi:type="dcterms:W3CDTF">2020-11-09T01:00:00Z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y fmtid="{D5CDD505-2E9C-101B-9397-08002B2CF9AE}" pid="8" name="category">
    <vt:lpwstr>template</vt:lpwstr>
  </property>
  <property fmtid="{D5CDD505-2E9C-101B-9397-08002B2CF9AE}" pid="9" name="contentStatus">
    <vt:lpwstr>active</vt:lpwstr>
  </property>
</Properties>
</file>