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58" w:rsidRPr="00080D73" w:rsidRDefault="008D1A58" w:rsidP="00080D73">
      <w:pPr>
        <w:pStyle w:val="Heading1"/>
      </w:pPr>
      <w:r w:rsidRPr="00080D73">
        <w:t>Summary of MAP-21 Matrix</w:t>
      </w:r>
    </w:p>
    <w:p w:rsidR="008D1A58" w:rsidRPr="008D1A58" w:rsidRDefault="008D1A58" w:rsidP="008D1A58">
      <w:pPr>
        <w:spacing w:after="0" w:line="240" w:lineRule="auto"/>
        <w:jc w:val="center"/>
        <w:rPr>
          <w:b/>
          <w:u w:val="single"/>
        </w:rPr>
      </w:pPr>
    </w:p>
    <w:p w:rsidR="008D1A58" w:rsidRPr="00080D73" w:rsidRDefault="008D1A58" w:rsidP="00080D73">
      <w:pPr>
        <w:pStyle w:val="Heading2"/>
      </w:pPr>
      <w:r w:rsidRPr="00080D73">
        <w:t>Overview</w:t>
      </w:r>
    </w:p>
    <w:p w:rsidR="00541BF9" w:rsidRDefault="00541BF9" w:rsidP="00541BF9">
      <w:pPr>
        <w:spacing w:after="0" w:line="240" w:lineRule="auto"/>
      </w:pPr>
    </w:p>
    <w:p w:rsidR="00EA601F" w:rsidRDefault="00A67700" w:rsidP="00541BF9">
      <w:pPr>
        <w:spacing w:after="0" w:line="240" w:lineRule="auto"/>
      </w:pPr>
      <w:r w:rsidRPr="00A67700">
        <w:t xml:space="preserve">On July 6, 2012, President Obama signed into law P.L. 112-141, the Moving Ahead for Progress in the 21st Century Act (MAP-21). Funding surface transportation programs at over $105 billion for fiscal years (FY) 2013 and 2014, MAP-21 is the first long-term highway authorization enacted since </w:t>
      </w:r>
      <w:r>
        <w:t xml:space="preserve">SAFETEA-LU in </w:t>
      </w:r>
      <w:r w:rsidRPr="00A67700">
        <w:t>2005.</w:t>
      </w:r>
    </w:p>
    <w:p w:rsidR="00023E6E" w:rsidRDefault="00023E6E" w:rsidP="00541BF9">
      <w:pPr>
        <w:spacing w:after="0" w:line="240" w:lineRule="auto"/>
      </w:pPr>
    </w:p>
    <w:p w:rsidR="00A67700" w:rsidRDefault="00A67700" w:rsidP="00541BF9">
      <w:pPr>
        <w:spacing w:after="0" w:line="240" w:lineRule="auto"/>
      </w:pPr>
      <w:r w:rsidRPr="00A67700">
        <w:t>MAP-21 extends current law (SAFETEA-LU) for the remainder of FY 2012, with new provisions for FY 2013 and beyond taking effect on October 1, 2012. Funding levels are maintained at FY 2012 levels, plus minor adjustments for inflation</w:t>
      </w:r>
      <w:r w:rsidR="00142BF0">
        <w:t>.</w:t>
      </w:r>
      <w:r w:rsidR="00023E6E">
        <w:t xml:space="preserve">  </w:t>
      </w:r>
      <w:r w:rsidR="009C087A">
        <w:t>It e</w:t>
      </w:r>
      <w:r w:rsidR="009C087A" w:rsidRPr="009C087A">
        <w:t>xtends the Highway Trust Fund and tax collections through FY 2016, two years beyond the reauthorization period.</w:t>
      </w:r>
    </w:p>
    <w:p w:rsidR="009C087A" w:rsidRDefault="00140784" w:rsidP="00541BF9">
      <w:pPr>
        <w:pStyle w:val="ListParagraph"/>
        <w:numPr>
          <w:ilvl w:val="0"/>
          <w:numId w:val="17"/>
        </w:numPr>
        <w:spacing w:after="0" w:line="240" w:lineRule="auto"/>
        <w:rPr>
          <w:rFonts w:ascii="Calibri" w:eastAsia="Batang" w:hAnsi="Calibri" w:cs="Times New Roman"/>
        </w:rPr>
      </w:pPr>
      <w:r w:rsidRPr="009C087A">
        <w:rPr>
          <w:rFonts w:ascii="Calibri" w:eastAsia="Batang" w:hAnsi="Calibri" w:cs="Times New Roman"/>
        </w:rPr>
        <w:t xml:space="preserve">Retains </w:t>
      </w:r>
      <w:r w:rsidR="009C087A" w:rsidRPr="009C087A">
        <w:rPr>
          <w:rFonts w:ascii="Calibri" w:eastAsia="Batang" w:hAnsi="Calibri" w:cs="Times New Roman"/>
        </w:rPr>
        <w:t xml:space="preserve">the </w:t>
      </w:r>
      <w:r w:rsidRPr="009C087A">
        <w:rPr>
          <w:rFonts w:ascii="Calibri" w:eastAsia="Batang" w:hAnsi="Calibri" w:cs="Times New Roman"/>
        </w:rPr>
        <w:t>80-20 funding split for highways and transit, respectively.</w:t>
      </w:r>
      <w:r w:rsidR="00A67700" w:rsidRPr="009C087A">
        <w:rPr>
          <w:rFonts w:ascii="Calibri" w:eastAsia="Batang" w:hAnsi="Calibri" w:cs="Times New Roman"/>
        </w:rPr>
        <w:t xml:space="preserve">  </w:t>
      </w:r>
    </w:p>
    <w:p w:rsidR="009C087A" w:rsidRDefault="00142BF0" w:rsidP="00541BF9">
      <w:pPr>
        <w:pStyle w:val="ListParagraph"/>
        <w:numPr>
          <w:ilvl w:val="0"/>
          <w:numId w:val="17"/>
        </w:numPr>
        <w:spacing w:after="0" w:line="240" w:lineRule="auto"/>
        <w:rPr>
          <w:rFonts w:ascii="Calibri" w:eastAsia="Batang" w:hAnsi="Calibri" w:cs="Times New Roman"/>
        </w:rPr>
      </w:pPr>
      <w:r>
        <w:rPr>
          <w:rFonts w:ascii="Calibri" w:eastAsia="Batang" w:hAnsi="Calibri" w:cs="Times New Roman"/>
        </w:rPr>
        <w:t>New approach to formulas:  a</w:t>
      </w:r>
      <w:r w:rsidR="00140784" w:rsidRPr="009C087A">
        <w:rPr>
          <w:rFonts w:ascii="Calibri" w:eastAsia="Batang" w:hAnsi="Calibri" w:cs="Times New Roman"/>
        </w:rPr>
        <w:t>pportions more dollars by for</w:t>
      </w:r>
      <w:r w:rsidR="00023E6E">
        <w:rPr>
          <w:rFonts w:ascii="Calibri" w:eastAsia="Batang" w:hAnsi="Calibri" w:cs="Times New Roman"/>
        </w:rPr>
        <w:t xml:space="preserve">mula: nearly 93% vs. 83% under </w:t>
      </w:r>
      <w:r w:rsidR="00140784" w:rsidRPr="009C087A">
        <w:rPr>
          <w:rFonts w:ascii="Calibri" w:eastAsia="Batang" w:hAnsi="Calibri" w:cs="Times New Roman"/>
        </w:rPr>
        <w:t>SAFETEA-LU.</w:t>
      </w:r>
      <w:r w:rsidR="00A67700" w:rsidRPr="009C087A">
        <w:rPr>
          <w:rFonts w:ascii="Calibri" w:eastAsia="Batang" w:hAnsi="Calibri" w:cs="Times New Roman"/>
        </w:rPr>
        <w:t xml:space="preserve">  </w:t>
      </w:r>
    </w:p>
    <w:p w:rsidR="00140784" w:rsidRDefault="009C087A" w:rsidP="00541BF9">
      <w:pPr>
        <w:pStyle w:val="ListParagraph"/>
        <w:numPr>
          <w:ilvl w:val="0"/>
          <w:numId w:val="17"/>
        </w:numPr>
        <w:spacing w:after="0" w:line="240" w:lineRule="auto"/>
        <w:rPr>
          <w:rFonts w:ascii="Calibri" w:eastAsia="Batang" w:hAnsi="Calibri" w:cs="Times New Roman"/>
        </w:rPr>
      </w:pPr>
      <w:r>
        <w:rPr>
          <w:rFonts w:ascii="Calibri" w:eastAsia="Batang" w:hAnsi="Calibri" w:cs="Times New Roman"/>
        </w:rPr>
        <w:t xml:space="preserve">Contains no </w:t>
      </w:r>
      <w:proofErr w:type="gramStart"/>
      <w:r w:rsidR="00140784" w:rsidRPr="009C087A">
        <w:rPr>
          <w:rFonts w:ascii="Calibri" w:eastAsia="Batang" w:hAnsi="Calibri" w:cs="Times New Roman"/>
        </w:rPr>
        <w:t>Congressional</w:t>
      </w:r>
      <w:r>
        <w:rPr>
          <w:rFonts w:ascii="Calibri" w:eastAsia="Batang" w:hAnsi="Calibri" w:cs="Times New Roman"/>
        </w:rPr>
        <w:t>ly</w:t>
      </w:r>
      <w:proofErr w:type="gramEnd"/>
      <w:r>
        <w:rPr>
          <w:rFonts w:ascii="Calibri" w:eastAsia="Batang" w:hAnsi="Calibri" w:cs="Times New Roman"/>
        </w:rPr>
        <w:t xml:space="preserve"> directed projects (</w:t>
      </w:r>
      <w:r w:rsidR="00140784" w:rsidRPr="009C087A">
        <w:rPr>
          <w:rFonts w:ascii="Calibri" w:eastAsia="Batang" w:hAnsi="Calibri" w:cs="Times New Roman"/>
        </w:rPr>
        <w:t>earmarks</w:t>
      </w:r>
      <w:r>
        <w:rPr>
          <w:rFonts w:ascii="Calibri" w:eastAsia="Batang" w:hAnsi="Calibri" w:cs="Times New Roman"/>
        </w:rPr>
        <w:t>)</w:t>
      </w:r>
      <w:r w:rsidR="00140784" w:rsidRPr="009C087A">
        <w:rPr>
          <w:rFonts w:ascii="Calibri" w:eastAsia="Batang" w:hAnsi="Calibri" w:cs="Times New Roman"/>
        </w:rPr>
        <w:t>.</w:t>
      </w:r>
    </w:p>
    <w:p w:rsidR="009C087A" w:rsidRPr="009C087A" w:rsidRDefault="009C087A" w:rsidP="00541BF9">
      <w:pPr>
        <w:pStyle w:val="ListParagraph"/>
        <w:numPr>
          <w:ilvl w:val="0"/>
          <w:numId w:val="17"/>
        </w:numPr>
        <w:spacing w:after="0" w:line="240" w:lineRule="auto"/>
        <w:rPr>
          <w:rFonts w:ascii="Calibri" w:eastAsia="Batang" w:hAnsi="Calibri" w:cs="Times New Roman"/>
        </w:rPr>
      </w:pPr>
      <w:r>
        <w:rPr>
          <w:rFonts w:ascii="Calibri" w:eastAsia="Batang" w:hAnsi="Calibri" w:cs="Times New Roman"/>
        </w:rPr>
        <w:t xml:space="preserve">Eliminates the equity bonus program; in its place </w:t>
      </w:r>
      <w:r w:rsidR="00142BF0">
        <w:rPr>
          <w:rFonts w:ascii="Calibri" w:eastAsia="Batang" w:hAnsi="Calibri" w:cs="Times New Roman"/>
        </w:rPr>
        <w:t>it ensures that no State receives less than 95 cents of every dollar it contributes to the Highway Trust Fund.</w:t>
      </w:r>
    </w:p>
    <w:p w:rsidR="00EA7B6D" w:rsidRDefault="00EA7B6D" w:rsidP="00A67700">
      <w:pPr>
        <w:spacing w:after="0" w:line="240" w:lineRule="auto"/>
      </w:pPr>
    </w:p>
    <w:p w:rsidR="00E60822" w:rsidRPr="00080D73" w:rsidRDefault="00E60822" w:rsidP="00080D73">
      <w:pPr>
        <w:pStyle w:val="Heading2"/>
      </w:pPr>
      <w:r w:rsidRPr="00080D73">
        <w:t>National</w:t>
      </w:r>
      <w:r w:rsidR="00C42246" w:rsidRPr="00080D73">
        <w:t xml:space="preserve"> Goals and Performance Measures</w:t>
      </w:r>
    </w:p>
    <w:p w:rsidR="00E60822" w:rsidRDefault="00E03760" w:rsidP="00E60822">
      <w:pPr>
        <w:spacing w:after="0" w:line="240" w:lineRule="auto"/>
      </w:pPr>
      <w:r w:rsidRPr="00E03760">
        <w:t xml:space="preserve">MAP-21 starts the transition to a performance-driven and outcome-based program.  This transition is represented in many areas of MAP-21:  formula highway programs, new performance management provisions, and planning provisions.  It requires States and </w:t>
      </w:r>
      <w:r w:rsidR="00541BF9">
        <w:t>Metropolitan Planning Organizations (</w:t>
      </w:r>
      <w:r w:rsidRPr="00E03760">
        <w:t>MPOs</w:t>
      </w:r>
      <w:r w:rsidR="00541BF9">
        <w:t>)</w:t>
      </w:r>
      <w:r w:rsidRPr="00E03760">
        <w:t xml:space="preserve"> to establish and use a performance-based approach as part of the statewide and metropolitan transportation planning process.  The performance based approach mus</w:t>
      </w:r>
      <w:r>
        <w:t>t be used to support the seven n</w:t>
      </w:r>
      <w:r w:rsidRPr="00E03760">
        <w:t xml:space="preserve">ational </w:t>
      </w:r>
      <w:r>
        <w:t>g</w:t>
      </w:r>
      <w:r w:rsidRPr="00E03760">
        <w:t>oa</w:t>
      </w:r>
      <w:r>
        <w:t xml:space="preserve">l areas established in MAP-21.  The seven national goal areas are:  </w:t>
      </w:r>
      <w:r w:rsidR="00E60822" w:rsidRPr="00E60822">
        <w:t>Safety, infrastructure Condition, Congestion Reduction, System Reliability, Freight Movement and Economic Vitality, Environmental Sustainability, and Project Delivery.</w:t>
      </w:r>
    </w:p>
    <w:p w:rsidR="00023E6E" w:rsidRDefault="00023E6E" w:rsidP="00E60822">
      <w:pPr>
        <w:spacing w:after="0" w:line="240" w:lineRule="auto"/>
      </w:pPr>
    </w:p>
    <w:p w:rsidR="00C21745" w:rsidRDefault="00D6577E" w:rsidP="00E60822">
      <w:pPr>
        <w:spacing w:after="0" w:line="240" w:lineRule="auto"/>
      </w:pPr>
      <w:r>
        <w:t xml:space="preserve">It </w:t>
      </w:r>
      <w:r w:rsidRPr="00D6577E">
        <w:t>further directs the Secretary of Transportation to establish national performance measures and data standards for each of the goals within 1</w:t>
      </w:r>
      <w:r w:rsidR="00023E6E">
        <w:t xml:space="preserve">8 months of MAP 21’s enactment.  </w:t>
      </w:r>
      <w:r w:rsidR="00E25652" w:rsidRPr="00E25652">
        <w:t>S</w:t>
      </w:r>
      <w:r w:rsidR="00023E6E">
        <w:t>tates and MPOs will set targets for each measure.</w:t>
      </w:r>
    </w:p>
    <w:p w:rsidR="00C21745" w:rsidRDefault="00C21745" w:rsidP="00E60822">
      <w:pPr>
        <w:spacing w:after="0" w:line="240" w:lineRule="auto"/>
      </w:pPr>
    </w:p>
    <w:p w:rsidR="00C21745" w:rsidRDefault="00D6577E" w:rsidP="00C21745">
      <w:pPr>
        <w:spacing w:after="0" w:line="240" w:lineRule="auto"/>
      </w:pPr>
      <w:r w:rsidRPr="00D6577E">
        <w:t>Some measures are specified in the legislation</w:t>
      </w:r>
      <w:r w:rsidR="00C21745">
        <w:t xml:space="preserve">:  </w:t>
      </w:r>
    </w:p>
    <w:p w:rsidR="00C21745" w:rsidRDefault="00C21745" w:rsidP="00C21745">
      <w:pPr>
        <w:spacing w:after="0" w:line="240" w:lineRule="auto"/>
      </w:pPr>
      <w:r>
        <w:t>(I)</w:t>
      </w:r>
      <w:r>
        <w:tab/>
        <w:t>Pavement condition on Interstates</w:t>
      </w:r>
    </w:p>
    <w:p w:rsidR="00C21745" w:rsidRDefault="00C21745" w:rsidP="00C21745">
      <w:pPr>
        <w:spacing w:after="0" w:line="240" w:lineRule="auto"/>
      </w:pPr>
      <w:r>
        <w:t>(II)</w:t>
      </w:r>
      <w:r>
        <w:tab/>
        <w:t>Pavement condition on non-Interstate NHS (new definition that includes all PAs)</w:t>
      </w:r>
    </w:p>
    <w:p w:rsidR="00C21745" w:rsidRDefault="00C21745" w:rsidP="00C21745">
      <w:pPr>
        <w:spacing w:after="0" w:line="240" w:lineRule="auto"/>
      </w:pPr>
      <w:r>
        <w:t>(III)</w:t>
      </w:r>
      <w:r>
        <w:tab/>
        <w:t>Condition of bridges on the NHS</w:t>
      </w:r>
    </w:p>
    <w:p w:rsidR="00C21745" w:rsidRDefault="00C21745" w:rsidP="00C21745">
      <w:pPr>
        <w:spacing w:after="0" w:line="240" w:lineRule="auto"/>
      </w:pPr>
      <w:r>
        <w:t>(IV)</w:t>
      </w:r>
      <w:r>
        <w:tab/>
        <w:t xml:space="preserve">Performance of Interstates system </w:t>
      </w:r>
    </w:p>
    <w:p w:rsidR="00C21745" w:rsidRDefault="00C21745" w:rsidP="00C21745">
      <w:pPr>
        <w:spacing w:after="0" w:line="240" w:lineRule="auto"/>
      </w:pPr>
      <w:r>
        <w:t>(V)</w:t>
      </w:r>
      <w:r>
        <w:tab/>
        <w:t>Performance of NHS</w:t>
      </w:r>
    </w:p>
    <w:p w:rsidR="00C21745" w:rsidRDefault="00C21745" w:rsidP="00C21745">
      <w:pPr>
        <w:spacing w:after="0" w:line="240" w:lineRule="auto"/>
      </w:pPr>
      <w:r>
        <w:t>(</w:t>
      </w:r>
      <w:r w:rsidR="00EA7B6D">
        <w:t>VI</w:t>
      </w:r>
      <w:r>
        <w:t>)</w:t>
      </w:r>
      <w:r w:rsidR="00EA7B6D">
        <w:t>(VII)</w:t>
      </w:r>
      <w:r>
        <w:t xml:space="preserve"> </w:t>
      </w:r>
      <w:r w:rsidR="00F92150">
        <w:t>S</w:t>
      </w:r>
      <w:r>
        <w:t>erious injuries and fatalities per VMT</w:t>
      </w:r>
    </w:p>
    <w:p w:rsidR="00C21745" w:rsidRDefault="00C21745" w:rsidP="00C21745">
      <w:pPr>
        <w:spacing w:after="0" w:line="240" w:lineRule="auto"/>
      </w:pPr>
      <w:r>
        <w:t>(</w:t>
      </w:r>
      <w:r w:rsidR="00EA7B6D">
        <w:t>VIII) (IV)</w:t>
      </w:r>
      <w:r>
        <w:t xml:space="preserve"> </w:t>
      </w:r>
      <w:r w:rsidR="00F92150">
        <w:t>N</w:t>
      </w:r>
      <w:r>
        <w:t>umber of serious injuries and fatalities</w:t>
      </w:r>
    </w:p>
    <w:p w:rsidR="00C21745" w:rsidRDefault="00EA7B6D" w:rsidP="00C21745">
      <w:pPr>
        <w:spacing w:after="0" w:line="240" w:lineRule="auto"/>
      </w:pPr>
      <w:r>
        <w:t xml:space="preserve">(X)          </w:t>
      </w:r>
      <w:proofErr w:type="gramStart"/>
      <w:r w:rsidR="00C21745">
        <w:t>traffic</w:t>
      </w:r>
      <w:proofErr w:type="gramEnd"/>
      <w:r w:rsidR="00C21745">
        <w:t xml:space="preserve"> congestion</w:t>
      </w:r>
    </w:p>
    <w:p w:rsidR="00C21745" w:rsidRDefault="00C21745" w:rsidP="00C21745">
      <w:pPr>
        <w:spacing w:after="0" w:line="240" w:lineRule="auto"/>
      </w:pPr>
      <w:r>
        <w:lastRenderedPageBreak/>
        <w:t>(</w:t>
      </w:r>
      <w:r w:rsidR="00EA7B6D">
        <w:t>XI</w:t>
      </w:r>
      <w:r>
        <w:t xml:space="preserve">) </w:t>
      </w:r>
      <w:r w:rsidR="00EA7B6D">
        <w:t xml:space="preserve">        </w:t>
      </w:r>
      <w:r w:rsidR="00F92150">
        <w:t>O</w:t>
      </w:r>
      <w:r>
        <w:t>n-road mobile source emissions</w:t>
      </w:r>
    </w:p>
    <w:p w:rsidR="00EA7B6D" w:rsidRDefault="00EA7B6D" w:rsidP="00C21745">
      <w:pPr>
        <w:spacing w:after="0" w:line="240" w:lineRule="auto"/>
      </w:pPr>
      <w:r>
        <w:t>(XII)       National Freight Movement</w:t>
      </w:r>
    </w:p>
    <w:p w:rsidR="00EA7B6D" w:rsidRDefault="00EA7B6D" w:rsidP="00C21745">
      <w:pPr>
        <w:spacing w:after="0" w:line="240" w:lineRule="auto"/>
      </w:pPr>
      <w:r>
        <w:t>(XIII)      Transit Safety</w:t>
      </w:r>
    </w:p>
    <w:p w:rsidR="00EA7B6D" w:rsidRDefault="00EA7B6D" w:rsidP="00C21745">
      <w:pPr>
        <w:spacing w:after="0" w:line="240" w:lineRule="auto"/>
      </w:pPr>
      <w:r>
        <w:t>(XIV)      State of Good Repair (Transit)</w:t>
      </w:r>
    </w:p>
    <w:p w:rsidR="00C21745" w:rsidRDefault="00C21745" w:rsidP="00C21745">
      <w:pPr>
        <w:spacing w:after="0" w:line="240" w:lineRule="auto"/>
      </w:pPr>
    </w:p>
    <w:p w:rsidR="00D6577E" w:rsidRDefault="00D6577E" w:rsidP="00E60822">
      <w:pPr>
        <w:spacing w:after="0" w:line="240" w:lineRule="auto"/>
      </w:pPr>
      <w:r w:rsidRPr="00D6577E">
        <w:t xml:space="preserve">With the exception of interstate pavement (to be set nationally) and NHS bridge condition (no more than 10% PA deck in poor condition), states will be required to set their own targets within </w:t>
      </w:r>
      <w:r w:rsidR="00023E6E">
        <w:t>one</w:t>
      </w:r>
      <w:r w:rsidRPr="00D6577E">
        <w:t xml:space="preserve"> year of the Secretary promulgating the national measures.</w:t>
      </w:r>
      <w:r w:rsidR="00C21745">
        <w:t xml:space="preserve">  </w:t>
      </w:r>
      <w:r w:rsidR="00C21745" w:rsidRPr="00C21745">
        <w:t>States may establish different targets for urban and rural areas</w:t>
      </w:r>
      <w:r w:rsidR="00C21745">
        <w:t>.</w:t>
      </w:r>
    </w:p>
    <w:p w:rsidR="00D6577E" w:rsidRDefault="00D6577E" w:rsidP="00E60822">
      <w:pPr>
        <w:spacing w:after="0" w:line="240" w:lineRule="auto"/>
      </w:pPr>
    </w:p>
    <w:p w:rsidR="00C21745" w:rsidRDefault="005D6933" w:rsidP="00E60822">
      <w:pPr>
        <w:spacing w:after="0" w:line="240" w:lineRule="auto"/>
      </w:pPr>
      <w:r>
        <w:t>The</w:t>
      </w:r>
      <w:r w:rsidR="00657455">
        <w:t xml:space="preserve"> planning provisions </w:t>
      </w:r>
      <w:r w:rsidR="003C0406">
        <w:t>contain requirements for both long-range plans and short-term transportation improvement programs (TIP) that use performance-based planning and provisions.  The TIP must be developed in a way that makes progress toward es</w:t>
      </w:r>
      <w:r w:rsidR="00E03760">
        <w:t>tablished performance targets.  The statewide transportation plan must include a description of the performance measures and performance targets used in assessing the performance of the transportation system.  The statewide transportation improvement program (STIP) must discuss how the program achieves the performance targets established in the statewide plan</w:t>
      </w:r>
      <w:r w:rsidR="00D50962">
        <w:t xml:space="preserve">, linking investment priorities to those targets.  </w:t>
      </w:r>
    </w:p>
    <w:p w:rsidR="00657455" w:rsidRDefault="00657455" w:rsidP="00657455">
      <w:pPr>
        <w:spacing w:after="0" w:line="240" w:lineRule="auto"/>
        <w:rPr>
          <w:b/>
          <w:u w:val="single"/>
        </w:rPr>
      </w:pPr>
    </w:p>
    <w:p w:rsidR="00657455" w:rsidRPr="00B40801" w:rsidRDefault="00E03760" w:rsidP="00657455">
      <w:pPr>
        <w:spacing w:after="0" w:line="240" w:lineRule="auto"/>
        <w:rPr>
          <w:b/>
          <w:u w:val="single"/>
        </w:rPr>
      </w:pPr>
      <w:r w:rsidRPr="00080D73">
        <w:rPr>
          <w:rStyle w:val="Heading2Char"/>
        </w:rPr>
        <w:t xml:space="preserve">Performance Based </w:t>
      </w:r>
      <w:r w:rsidR="00657455" w:rsidRPr="00080D73">
        <w:rPr>
          <w:rStyle w:val="Heading2Char"/>
        </w:rPr>
        <w:t>Planning</w:t>
      </w:r>
    </w:p>
    <w:p w:rsidR="003C0406" w:rsidRDefault="003C0406" w:rsidP="003C0406">
      <w:pPr>
        <w:spacing w:after="0" w:line="240" w:lineRule="auto"/>
      </w:pPr>
      <w:r>
        <w:t xml:space="preserve">Each state must integrate the </w:t>
      </w:r>
      <w:r w:rsidR="00F92150">
        <w:t xml:space="preserve">national </w:t>
      </w:r>
      <w:r>
        <w:t xml:space="preserve">performance measures and </w:t>
      </w:r>
      <w:r w:rsidR="00F92150">
        <w:t xml:space="preserve">state </w:t>
      </w:r>
      <w:r>
        <w:t>targets into its statewide transportation planning process and other plans. Each state must consider these performance measures and targets in state transportation policies, programs, and investment priorities. Each state’s transportation plan must</w:t>
      </w:r>
    </w:p>
    <w:p w:rsidR="003C0406" w:rsidRDefault="003C0406" w:rsidP="003C0406">
      <w:pPr>
        <w:spacing w:after="0" w:line="240" w:lineRule="auto"/>
      </w:pPr>
      <w:proofErr w:type="gramStart"/>
      <w:r>
        <w:t>discuss</w:t>
      </w:r>
      <w:proofErr w:type="gramEnd"/>
      <w:r>
        <w:t xml:space="preserve"> the performance measures and targets and must present a system performance report. Each</w:t>
      </w:r>
    </w:p>
    <w:p w:rsidR="003C0406" w:rsidRDefault="003C0406" w:rsidP="003C0406">
      <w:pPr>
        <w:spacing w:after="0" w:line="240" w:lineRule="auto"/>
      </w:pPr>
      <w:proofErr w:type="gramStart"/>
      <w:r>
        <w:t>state’s</w:t>
      </w:r>
      <w:proofErr w:type="gramEnd"/>
      <w:r>
        <w:t xml:space="preserve"> STIP must include a discussion of how the STIP will help achieve the state’s performance targets.</w:t>
      </w:r>
    </w:p>
    <w:p w:rsidR="003C0406" w:rsidRDefault="003C0406" w:rsidP="00657455">
      <w:pPr>
        <w:spacing w:after="0" w:line="240" w:lineRule="auto"/>
      </w:pPr>
    </w:p>
    <w:p w:rsidR="00657455" w:rsidRPr="008B72B4" w:rsidRDefault="00657455" w:rsidP="00657455">
      <w:pPr>
        <w:spacing w:after="120" w:line="240" w:lineRule="auto"/>
        <w:contextualSpacing/>
        <w:rPr>
          <w:rFonts w:cstheme="minorHAnsi"/>
        </w:rPr>
      </w:pPr>
      <w:r>
        <w:rPr>
          <w:rFonts w:cstheme="minorHAnsi"/>
        </w:rPr>
        <w:t xml:space="preserve">MAP-21 requires a </w:t>
      </w:r>
      <w:r w:rsidR="00D50962">
        <w:rPr>
          <w:rFonts w:cstheme="minorHAnsi"/>
        </w:rPr>
        <w:t>p</w:t>
      </w:r>
      <w:r w:rsidRPr="008B72B4">
        <w:rPr>
          <w:rFonts w:cstheme="minorHAnsi"/>
        </w:rPr>
        <w:t>erformance-based planning approach:</w:t>
      </w:r>
    </w:p>
    <w:p w:rsidR="00657455" w:rsidRPr="008B72B4" w:rsidRDefault="00657455" w:rsidP="00657455">
      <w:pPr>
        <w:pStyle w:val="ListParagraph"/>
        <w:numPr>
          <w:ilvl w:val="0"/>
          <w:numId w:val="2"/>
        </w:numPr>
        <w:spacing w:after="120" w:line="240" w:lineRule="auto"/>
        <w:rPr>
          <w:rFonts w:cstheme="minorHAnsi"/>
        </w:rPr>
      </w:pPr>
      <w:r w:rsidRPr="008B72B4">
        <w:rPr>
          <w:rFonts w:cstheme="minorHAnsi"/>
        </w:rPr>
        <w:t>Required for both statewide and metropolitan plans</w:t>
      </w:r>
    </w:p>
    <w:p w:rsidR="00657455" w:rsidRPr="008B72B4" w:rsidRDefault="00657455" w:rsidP="00657455">
      <w:pPr>
        <w:pStyle w:val="ListParagraph"/>
        <w:numPr>
          <w:ilvl w:val="0"/>
          <w:numId w:val="2"/>
        </w:numPr>
        <w:spacing w:after="120" w:line="240" w:lineRule="auto"/>
        <w:rPr>
          <w:rFonts w:cstheme="minorHAnsi"/>
        </w:rPr>
      </w:pPr>
      <w:r w:rsidRPr="008B72B4">
        <w:rPr>
          <w:rFonts w:cstheme="minorHAnsi"/>
        </w:rPr>
        <w:t xml:space="preserve">Required to support national goals for </w:t>
      </w:r>
      <w:r w:rsidRPr="008B72B4">
        <w:rPr>
          <w:rFonts w:eastAsia="Times New Roman" w:cstheme="minorHAnsi"/>
        </w:rPr>
        <w:t>Safety, Infrastructure Condition, Congestion Reduction, System Reliability, Freight Movement &amp; Economic Vitality, Environmental Sustainability, and Reduced Project Delivery Delays</w:t>
      </w:r>
    </w:p>
    <w:p w:rsidR="00657455" w:rsidRPr="008B72B4" w:rsidRDefault="00657455" w:rsidP="00657455">
      <w:pPr>
        <w:pStyle w:val="ListParagraph"/>
        <w:numPr>
          <w:ilvl w:val="0"/>
          <w:numId w:val="1"/>
        </w:numPr>
        <w:spacing w:after="120" w:line="240" w:lineRule="auto"/>
        <w:ind w:left="720"/>
        <w:rPr>
          <w:rFonts w:cstheme="minorHAnsi"/>
        </w:rPr>
      </w:pPr>
      <w:r w:rsidRPr="008B72B4">
        <w:rPr>
          <w:rFonts w:cstheme="minorHAnsi"/>
        </w:rPr>
        <w:t>States set targets which can be varied for urban and rural settings</w:t>
      </w:r>
    </w:p>
    <w:p w:rsidR="00657455" w:rsidRPr="008B72B4" w:rsidRDefault="00657455" w:rsidP="00657455">
      <w:pPr>
        <w:pStyle w:val="ListParagraph"/>
        <w:numPr>
          <w:ilvl w:val="0"/>
          <w:numId w:val="1"/>
        </w:numPr>
        <w:spacing w:after="120" w:line="240" w:lineRule="auto"/>
        <w:ind w:left="720"/>
        <w:rPr>
          <w:rFonts w:cstheme="minorHAnsi"/>
        </w:rPr>
      </w:pPr>
      <w:r w:rsidRPr="008B72B4">
        <w:rPr>
          <w:rFonts w:cstheme="minorHAnsi"/>
        </w:rPr>
        <w:t>MPOs set targets that are coordinated with the state</w:t>
      </w:r>
      <w:r w:rsidR="00D50962">
        <w:rPr>
          <w:rFonts w:cstheme="minorHAnsi"/>
        </w:rPr>
        <w:t xml:space="preserve"> targets</w:t>
      </w:r>
    </w:p>
    <w:p w:rsidR="00657455" w:rsidRPr="008B72B4" w:rsidRDefault="00657455" w:rsidP="00657455">
      <w:pPr>
        <w:pStyle w:val="ListParagraph"/>
        <w:numPr>
          <w:ilvl w:val="0"/>
          <w:numId w:val="1"/>
        </w:numPr>
        <w:spacing w:after="120" w:line="240" w:lineRule="auto"/>
        <w:ind w:left="720"/>
        <w:rPr>
          <w:rFonts w:cstheme="minorHAnsi"/>
        </w:rPr>
      </w:pPr>
      <w:r w:rsidRPr="008B72B4">
        <w:rPr>
          <w:rFonts w:cstheme="minorHAnsi"/>
        </w:rPr>
        <w:t>Long-range plans</w:t>
      </w:r>
      <w:r w:rsidR="00D50962">
        <w:rPr>
          <w:rFonts w:cstheme="minorHAnsi"/>
        </w:rPr>
        <w:t xml:space="preserve"> (LRPs - </w:t>
      </w:r>
      <w:r w:rsidRPr="008B72B4">
        <w:rPr>
          <w:rFonts w:cstheme="minorHAnsi"/>
        </w:rPr>
        <w:t>both statewide and metropolitan) must include baseline/current performance evaluation</w:t>
      </w:r>
      <w:r w:rsidR="00D50962">
        <w:rPr>
          <w:rFonts w:cstheme="minorHAnsi"/>
        </w:rPr>
        <w:t>s</w:t>
      </w:r>
    </w:p>
    <w:p w:rsidR="00657455" w:rsidRPr="008B72B4" w:rsidRDefault="00657455" w:rsidP="00657455">
      <w:pPr>
        <w:pStyle w:val="ListParagraph"/>
        <w:numPr>
          <w:ilvl w:val="0"/>
          <w:numId w:val="3"/>
        </w:numPr>
        <w:spacing w:after="120" w:line="240" w:lineRule="auto"/>
        <w:ind w:left="720"/>
        <w:rPr>
          <w:rFonts w:cstheme="minorHAnsi"/>
        </w:rPr>
      </w:pPr>
      <w:r w:rsidRPr="008B72B4">
        <w:rPr>
          <w:rFonts w:cstheme="minorHAnsi"/>
        </w:rPr>
        <w:t>LRPs must include performance-based goals, objectives, and strategies</w:t>
      </w:r>
    </w:p>
    <w:p w:rsidR="00657455" w:rsidRPr="008B72B4" w:rsidRDefault="00657455" w:rsidP="00657455">
      <w:pPr>
        <w:pStyle w:val="ListParagraph"/>
        <w:numPr>
          <w:ilvl w:val="0"/>
          <w:numId w:val="3"/>
        </w:numPr>
        <w:spacing w:after="120" w:line="240" w:lineRule="auto"/>
        <w:ind w:left="720"/>
        <w:rPr>
          <w:rFonts w:cstheme="minorHAnsi"/>
        </w:rPr>
      </w:pPr>
      <w:r w:rsidRPr="008B72B4">
        <w:rPr>
          <w:rFonts w:cstheme="minorHAnsi"/>
        </w:rPr>
        <w:t>LRPs must evaluate effectiveness of proposed actions/policies/programs/projects</w:t>
      </w:r>
    </w:p>
    <w:p w:rsidR="00657455" w:rsidRPr="008B72B4" w:rsidRDefault="00657455" w:rsidP="00657455">
      <w:pPr>
        <w:pStyle w:val="ListParagraph"/>
        <w:numPr>
          <w:ilvl w:val="0"/>
          <w:numId w:val="3"/>
        </w:numPr>
        <w:spacing w:after="120" w:line="240" w:lineRule="auto"/>
        <w:ind w:left="720"/>
        <w:rPr>
          <w:rFonts w:cstheme="minorHAnsi"/>
        </w:rPr>
      </w:pPr>
      <w:r w:rsidRPr="008B72B4">
        <w:rPr>
          <w:rFonts w:cstheme="minorHAnsi"/>
        </w:rPr>
        <w:t>MPOs encouraged to include scenarios that vary conditions, development patterns, and/or revenues</w:t>
      </w:r>
    </w:p>
    <w:p w:rsidR="00657455" w:rsidRPr="008B72B4" w:rsidRDefault="00657455" w:rsidP="00657455">
      <w:pPr>
        <w:pStyle w:val="ListParagraph"/>
        <w:numPr>
          <w:ilvl w:val="0"/>
          <w:numId w:val="3"/>
        </w:numPr>
        <w:spacing w:after="120" w:line="240" w:lineRule="auto"/>
        <w:ind w:left="720"/>
        <w:rPr>
          <w:rFonts w:cstheme="minorHAnsi"/>
        </w:rPr>
      </w:pPr>
      <w:r w:rsidRPr="008B72B4">
        <w:rPr>
          <w:rFonts w:cstheme="minorHAnsi"/>
        </w:rPr>
        <w:t>Statewide LRPs must draw on other federally required plans:</w:t>
      </w:r>
    </w:p>
    <w:p w:rsidR="00657455" w:rsidRPr="008B72B4" w:rsidRDefault="00657455" w:rsidP="00657455">
      <w:pPr>
        <w:pStyle w:val="ListParagraph"/>
        <w:numPr>
          <w:ilvl w:val="1"/>
          <w:numId w:val="3"/>
        </w:numPr>
        <w:spacing w:after="120" w:line="240" w:lineRule="auto"/>
        <w:ind w:left="2160"/>
        <w:rPr>
          <w:rFonts w:cstheme="minorHAnsi"/>
        </w:rPr>
      </w:pPr>
      <w:r w:rsidRPr="008B72B4">
        <w:rPr>
          <w:rFonts w:cstheme="minorHAnsi"/>
        </w:rPr>
        <w:t>Strategic Highway Safety Plan</w:t>
      </w:r>
    </w:p>
    <w:p w:rsidR="00657455" w:rsidRPr="008B72B4" w:rsidRDefault="00657455" w:rsidP="00657455">
      <w:pPr>
        <w:pStyle w:val="ListParagraph"/>
        <w:numPr>
          <w:ilvl w:val="1"/>
          <w:numId w:val="3"/>
        </w:numPr>
        <w:spacing w:after="120" w:line="240" w:lineRule="auto"/>
        <w:ind w:left="2160"/>
        <w:rPr>
          <w:rFonts w:cstheme="minorHAnsi"/>
        </w:rPr>
      </w:pPr>
      <w:r w:rsidRPr="008B72B4">
        <w:rPr>
          <w:rFonts w:cstheme="minorHAnsi"/>
        </w:rPr>
        <w:t>Asset Management Plan (new)</w:t>
      </w:r>
    </w:p>
    <w:p w:rsidR="00657455" w:rsidRPr="008B72B4" w:rsidRDefault="00657455" w:rsidP="00657455">
      <w:pPr>
        <w:pStyle w:val="ListParagraph"/>
        <w:numPr>
          <w:ilvl w:val="1"/>
          <w:numId w:val="3"/>
        </w:numPr>
        <w:spacing w:after="120" w:line="240" w:lineRule="auto"/>
        <w:ind w:left="2160"/>
        <w:rPr>
          <w:rFonts w:cstheme="minorHAnsi"/>
        </w:rPr>
      </w:pPr>
      <w:r w:rsidRPr="008B72B4">
        <w:rPr>
          <w:rFonts w:cstheme="minorHAnsi"/>
        </w:rPr>
        <w:t>Freight Plan (new)</w:t>
      </w:r>
    </w:p>
    <w:p w:rsidR="00657455" w:rsidRPr="008B72B4" w:rsidRDefault="00657455" w:rsidP="00657455">
      <w:pPr>
        <w:pStyle w:val="ListParagraph"/>
        <w:numPr>
          <w:ilvl w:val="1"/>
          <w:numId w:val="3"/>
        </w:numPr>
        <w:spacing w:after="120" w:line="240" w:lineRule="auto"/>
        <w:ind w:left="2160"/>
        <w:rPr>
          <w:rFonts w:cstheme="minorHAnsi"/>
        </w:rPr>
      </w:pPr>
      <w:r w:rsidRPr="008B72B4">
        <w:rPr>
          <w:rFonts w:cstheme="minorHAnsi"/>
        </w:rPr>
        <w:t>ITS Architecture</w:t>
      </w:r>
    </w:p>
    <w:p w:rsidR="00657455" w:rsidRDefault="00657455" w:rsidP="00657455">
      <w:pPr>
        <w:pStyle w:val="ListParagraph"/>
        <w:numPr>
          <w:ilvl w:val="0"/>
          <w:numId w:val="3"/>
        </w:numPr>
        <w:spacing w:after="120" w:line="240" w:lineRule="auto"/>
        <w:ind w:left="720"/>
        <w:rPr>
          <w:rFonts w:cstheme="minorHAnsi"/>
        </w:rPr>
      </w:pPr>
      <w:r w:rsidRPr="008B72B4">
        <w:rPr>
          <w:rFonts w:cstheme="minorHAnsi"/>
        </w:rPr>
        <w:t>Financial plans required for MPO LRPs; discretionary for states</w:t>
      </w:r>
    </w:p>
    <w:p w:rsidR="003C0406" w:rsidRPr="003C0406" w:rsidRDefault="003C0406" w:rsidP="003C0406">
      <w:pPr>
        <w:spacing w:after="120" w:line="240" w:lineRule="auto"/>
        <w:rPr>
          <w:rFonts w:cstheme="minorHAnsi"/>
        </w:rPr>
      </w:pPr>
      <w:r w:rsidRPr="003C0406">
        <w:rPr>
          <w:rFonts w:cstheme="minorHAnsi"/>
        </w:rPr>
        <w:lastRenderedPageBreak/>
        <w:t>As in SAFETEA-LU, multimodal plans are required.  Also continued are the extensive consultation requirements: tribes</w:t>
      </w:r>
      <w:r w:rsidR="00D50962">
        <w:rPr>
          <w:rFonts w:cstheme="minorHAnsi"/>
        </w:rPr>
        <w:t xml:space="preserve">, </w:t>
      </w:r>
      <w:r w:rsidRPr="003C0406">
        <w:rPr>
          <w:rFonts w:cstheme="minorHAnsi"/>
        </w:rPr>
        <w:t>federal land agencies</w:t>
      </w:r>
      <w:r w:rsidR="00D50962">
        <w:rPr>
          <w:rFonts w:cstheme="minorHAnsi"/>
        </w:rPr>
        <w:t xml:space="preserve">, </w:t>
      </w:r>
      <w:r w:rsidRPr="003C0406">
        <w:rPr>
          <w:rFonts w:cstheme="minorHAnsi"/>
        </w:rPr>
        <w:t>natural resource protection agencies (wildlife</w:t>
      </w:r>
      <w:proofErr w:type="gramStart"/>
      <w:r w:rsidRPr="003C0406">
        <w:rPr>
          <w:rFonts w:cstheme="minorHAnsi"/>
        </w:rPr>
        <w:t>,  habitat</w:t>
      </w:r>
      <w:proofErr w:type="gramEnd"/>
      <w:r w:rsidRPr="003C0406">
        <w:rPr>
          <w:rFonts w:cstheme="minorHAnsi"/>
        </w:rPr>
        <w:t>, air and water quality, etc.)</w:t>
      </w:r>
      <w:r w:rsidR="00D50962">
        <w:rPr>
          <w:rFonts w:cstheme="minorHAnsi"/>
        </w:rPr>
        <w:t xml:space="preserve">, </w:t>
      </w:r>
      <w:r w:rsidRPr="003C0406">
        <w:rPr>
          <w:rFonts w:cstheme="minorHAnsi"/>
        </w:rPr>
        <w:t>economic development</w:t>
      </w:r>
      <w:r w:rsidR="00D50962">
        <w:rPr>
          <w:rFonts w:cstheme="minorHAnsi"/>
        </w:rPr>
        <w:t xml:space="preserve">, </w:t>
      </w:r>
      <w:r w:rsidRPr="003C0406">
        <w:rPr>
          <w:rFonts w:cstheme="minorHAnsi"/>
        </w:rPr>
        <w:t xml:space="preserve">land use planning.  Cooperation is </w:t>
      </w:r>
      <w:r w:rsidR="00D50962">
        <w:rPr>
          <w:rFonts w:cstheme="minorHAnsi"/>
        </w:rPr>
        <w:t xml:space="preserve">still </w:t>
      </w:r>
      <w:r w:rsidRPr="003C0406">
        <w:rPr>
          <w:rFonts w:cstheme="minorHAnsi"/>
        </w:rPr>
        <w:t>required between the state and MPOs</w:t>
      </w:r>
      <w:r w:rsidR="00D50962">
        <w:rPr>
          <w:rFonts w:cstheme="minorHAnsi"/>
        </w:rPr>
        <w:t>.  The requirement for consultation with nonmetropolitan transportation officials changes to cooperation for planning purposes</w:t>
      </w:r>
      <w:r w:rsidRPr="003C0406">
        <w:rPr>
          <w:rFonts w:cstheme="minorHAnsi"/>
        </w:rPr>
        <w:t>.</w:t>
      </w:r>
    </w:p>
    <w:p w:rsidR="003C0406" w:rsidRPr="003C0406" w:rsidRDefault="003C0406" w:rsidP="00541BF9">
      <w:pPr>
        <w:spacing w:after="0" w:line="240" w:lineRule="auto"/>
        <w:rPr>
          <w:rFonts w:cstheme="minorHAnsi"/>
        </w:rPr>
      </w:pPr>
      <w:r w:rsidRPr="003C0406">
        <w:rPr>
          <w:rFonts w:cstheme="minorHAnsi"/>
        </w:rPr>
        <w:t xml:space="preserve">Map -21 enables states to designate RTPOs (Rural Transportation Planning Organizations), but makes their designation discretionary.  No federal funding is provided to support RTPO designation </w:t>
      </w:r>
      <w:r w:rsidR="00D50962">
        <w:rPr>
          <w:rFonts w:cstheme="minorHAnsi"/>
        </w:rPr>
        <w:t>or planning activities</w:t>
      </w:r>
      <w:r w:rsidRPr="003C0406">
        <w:rPr>
          <w:rFonts w:cstheme="minorHAnsi"/>
        </w:rPr>
        <w:t xml:space="preserve">.  </w:t>
      </w:r>
    </w:p>
    <w:p w:rsidR="00A67700" w:rsidRDefault="00A67700" w:rsidP="00080D73">
      <w:pPr>
        <w:pStyle w:val="Heading2"/>
      </w:pPr>
    </w:p>
    <w:p w:rsidR="009C087A" w:rsidRPr="00B40801" w:rsidRDefault="009C087A" w:rsidP="00080D73">
      <w:pPr>
        <w:pStyle w:val="Heading2"/>
      </w:pPr>
      <w:r w:rsidRPr="00B40801">
        <w:t>Accelerating Project Delivery</w:t>
      </w:r>
    </w:p>
    <w:p w:rsidR="009C087A" w:rsidRPr="00B40801" w:rsidRDefault="00D50962" w:rsidP="00541BF9">
      <w:pPr>
        <w:spacing w:after="0" w:line="240" w:lineRule="auto"/>
        <w:rPr>
          <w:rFonts w:cstheme="minorHAnsi"/>
        </w:rPr>
      </w:pPr>
      <w:r>
        <w:rPr>
          <w:rFonts w:eastAsia="Calibri" w:cstheme="minorHAnsi"/>
        </w:rPr>
        <w:t>MAP-21 e</w:t>
      </w:r>
      <w:r w:rsidR="009C087A" w:rsidRPr="00B40801">
        <w:rPr>
          <w:rFonts w:eastAsia="Calibri" w:cstheme="minorHAnsi"/>
        </w:rPr>
        <w:t>xpand</w:t>
      </w:r>
      <w:r>
        <w:rPr>
          <w:rFonts w:eastAsia="Calibri" w:cstheme="minorHAnsi"/>
        </w:rPr>
        <w:t>s</w:t>
      </w:r>
      <w:r w:rsidR="009C087A" w:rsidRPr="00B40801">
        <w:rPr>
          <w:rFonts w:eastAsia="Calibri" w:cstheme="minorHAnsi"/>
        </w:rPr>
        <w:t xml:space="preserve"> </w:t>
      </w:r>
      <w:r>
        <w:rPr>
          <w:rFonts w:eastAsia="Calibri" w:cstheme="minorHAnsi"/>
        </w:rPr>
        <w:t xml:space="preserve">the </w:t>
      </w:r>
      <w:r w:rsidR="009C087A" w:rsidRPr="00B40801">
        <w:rPr>
          <w:rFonts w:eastAsia="Calibri" w:cstheme="minorHAnsi"/>
        </w:rPr>
        <w:t xml:space="preserve">flexibility to undertake activities prior to completion of NEPA, including acquisition of real property, </w:t>
      </w:r>
      <w:r>
        <w:rPr>
          <w:rFonts w:eastAsia="Calibri" w:cstheme="minorHAnsi"/>
        </w:rPr>
        <w:t>or r</w:t>
      </w:r>
      <w:r w:rsidR="009C087A">
        <w:rPr>
          <w:rFonts w:eastAsia="Calibri" w:cstheme="minorHAnsi"/>
        </w:rPr>
        <w:t>ight-of-</w:t>
      </w:r>
      <w:r>
        <w:rPr>
          <w:rFonts w:eastAsia="Calibri" w:cstheme="minorHAnsi"/>
        </w:rPr>
        <w:t>w</w:t>
      </w:r>
      <w:r w:rsidR="009C087A">
        <w:rPr>
          <w:rFonts w:eastAsia="Calibri" w:cstheme="minorHAnsi"/>
        </w:rPr>
        <w:t>ay and d</w:t>
      </w:r>
      <w:r w:rsidR="009C087A" w:rsidRPr="00B40801">
        <w:rPr>
          <w:rFonts w:eastAsia="Calibri" w:cstheme="minorHAnsi"/>
        </w:rPr>
        <w:t>esign</w:t>
      </w:r>
      <w:r w:rsidR="009C087A">
        <w:rPr>
          <w:rFonts w:eastAsia="Calibri" w:cstheme="minorHAnsi"/>
        </w:rPr>
        <w:t xml:space="preserve"> activities at any level of detail.  It enables the </w:t>
      </w:r>
      <w:r w:rsidR="009C087A" w:rsidRPr="00B40801">
        <w:rPr>
          <w:rFonts w:eastAsia="Calibri" w:cstheme="minorHAnsi"/>
        </w:rPr>
        <w:t xml:space="preserve">ability to enter into </w:t>
      </w:r>
      <w:r>
        <w:rPr>
          <w:rFonts w:eastAsia="Calibri" w:cstheme="minorHAnsi"/>
        </w:rPr>
        <w:t>Construction Manager/General Contractor (</w:t>
      </w:r>
      <w:r w:rsidR="009C087A" w:rsidRPr="00B40801">
        <w:rPr>
          <w:rFonts w:eastAsia="Calibri" w:cstheme="minorHAnsi"/>
        </w:rPr>
        <w:t>CM/GC</w:t>
      </w:r>
      <w:r>
        <w:rPr>
          <w:rFonts w:eastAsia="Calibri" w:cstheme="minorHAnsi"/>
        </w:rPr>
        <w:t>)</w:t>
      </w:r>
      <w:r w:rsidR="009C087A" w:rsidRPr="00B40801">
        <w:rPr>
          <w:rFonts w:eastAsia="Calibri" w:cstheme="minorHAnsi"/>
        </w:rPr>
        <w:t xml:space="preserve"> con</w:t>
      </w:r>
      <w:r w:rsidR="00F92150">
        <w:rPr>
          <w:rFonts w:eastAsia="Calibri" w:cstheme="minorHAnsi"/>
        </w:rPr>
        <w:t xml:space="preserve">tracts.  </w:t>
      </w:r>
      <w:r w:rsidR="009C087A" w:rsidRPr="00B40801">
        <w:rPr>
          <w:rFonts w:eastAsia="Calibri" w:cstheme="minorHAnsi"/>
        </w:rPr>
        <w:t xml:space="preserve"> </w:t>
      </w:r>
    </w:p>
    <w:p w:rsidR="009C087A" w:rsidRDefault="009C087A" w:rsidP="00541BF9">
      <w:pPr>
        <w:spacing w:after="0" w:line="240" w:lineRule="auto"/>
        <w:rPr>
          <w:rFonts w:eastAsia="Calibri" w:cstheme="minorHAnsi"/>
        </w:rPr>
      </w:pPr>
    </w:p>
    <w:p w:rsidR="009C087A" w:rsidRPr="00B40801" w:rsidRDefault="00541BF9" w:rsidP="00541BF9">
      <w:pPr>
        <w:spacing w:after="0" w:line="240" w:lineRule="auto"/>
        <w:rPr>
          <w:rFonts w:eastAsia="Calibri" w:cstheme="minorHAnsi"/>
        </w:rPr>
      </w:pPr>
      <w:r>
        <w:rPr>
          <w:rFonts w:eastAsia="Calibri" w:cstheme="minorHAnsi"/>
        </w:rPr>
        <w:t xml:space="preserve">The </w:t>
      </w:r>
      <w:r w:rsidRPr="00541BF9">
        <w:rPr>
          <w:rFonts w:eastAsia="Calibri" w:cstheme="minorHAnsi"/>
        </w:rPr>
        <w:t xml:space="preserve">U.S. Department of Transportation </w:t>
      </w:r>
      <w:r>
        <w:rPr>
          <w:rFonts w:eastAsia="Calibri" w:cstheme="minorHAnsi"/>
        </w:rPr>
        <w:t>(</w:t>
      </w:r>
      <w:r w:rsidR="009C087A" w:rsidRPr="00B40801">
        <w:rPr>
          <w:rFonts w:eastAsia="Calibri" w:cstheme="minorHAnsi"/>
        </w:rPr>
        <w:t>USDOT</w:t>
      </w:r>
      <w:r>
        <w:rPr>
          <w:rFonts w:eastAsia="Calibri" w:cstheme="minorHAnsi"/>
        </w:rPr>
        <w:t>)</w:t>
      </w:r>
      <w:r w:rsidR="009C087A" w:rsidRPr="00B40801">
        <w:rPr>
          <w:rFonts w:eastAsia="Calibri" w:cstheme="minorHAnsi"/>
        </w:rPr>
        <w:t xml:space="preserve"> is required to establish Categorical Exclusions </w:t>
      </w:r>
      <w:r w:rsidR="009C087A">
        <w:rPr>
          <w:rFonts w:eastAsia="Calibri" w:cstheme="minorHAnsi"/>
        </w:rPr>
        <w:t>(CEs</w:t>
      </w:r>
      <w:proofErr w:type="gramStart"/>
      <w:r w:rsidR="009C087A">
        <w:rPr>
          <w:rFonts w:eastAsia="Calibri" w:cstheme="minorHAnsi"/>
        </w:rPr>
        <w:t>)</w:t>
      </w:r>
      <w:r w:rsidR="009C087A" w:rsidRPr="00B40801">
        <w:rPr>
          <w:rFonts w:eastAsia="Calibri" w:cstheme="minorHAnsi"/>
        </w:rPr>
        <w:t>for</w:t>
      </w:r>
      <w:proofErr w:type="gramEnd"/>
      <w:r w:rsidR="009C087A" w:rsidRPr="00B40801">
        <w:rPr>
          <w:rFonts w:eastAsia="Calibri" w:cstheme="minorHAnsi"/>
        </w:rPr>
        <w:t>:</w:t>
      </w:r>
    </w:p>
    <w:p w:rsidR="009C087A" w:rsidRPr="00B40801" w:rsidRDefault="009C087A" w:rsidP="00541BF9">
      <w:pPr>
        <w:numPr>
          <w:ilvl w:val="0"/>
          <w:numId w:val="10"/>
        </w:numPr>
        <w:spacing w:after="0" w:line="240" w:lineRule="auto"/>
        <w:rPr>
          <w:rFonts w:eastAsia="Calibri" w:cstheme="minorHAnsi"/>
        </w:rPr>
      </w:pPr>
      <w:r w:rsidRPr="00B40801">
        <w:rPr>
          <w:rFonts w:eastAsia="Calibri" w:cstheme="minorHAnsi"/>
        </w:rPr>
        <w:t>Emergency replacement projects</w:t>
      </w:r>
    </w:p>
    <w:p w:rsidR="009C087A" w:rsidRPr="00B40801" w:rsidRDefault="009C087A" w:rsidP="00541BF9">
      <w:pPr>
        <w:numPr>
          <w:ilvl w:val="0"/>
          <w:numId w:val="10"/>
        </w:numPr>
        <w:spacing w:after="0" w:line="240" w:lineRule="auto"/>
        <w:rPr>
          <w:rFonts w:eastAsia="Calibri" w:cstheme="minorHAnsi"/>
        </w:rPr>
      </w:pPr>
      <w:r w:rsidRPr="00B40801">
        <w:rPr>
          <w:rFonts w:eastAsia="Calibri" w:cstheme="minorHAnsi"/>
        </w:rPr>
        <w:t>Projects located within existing operational right-of-way</w:t>
      </w:r>
    </w:p>
    <w:p w:rsidR="009C087A" w:rsidRPr="00B40801" w:rsidRDefault="009C087A" w:rsidP="00541BF9">
      <w:pPr>
        <w:numPr>
          <w:ilvl w:val="0"/>
          <w:numId w:val="10"/>
        </w:numPr>
        <w:spacing w:after="0" w:line="240" w:lineRule="auto"/>
        <w:rPr>
          <w:rFonts w:eastAsia="Calibri" w:cstheme="minorHAnsi"/>
        </w:rPr>
      </w:pPr>
      <w:r w:rsidRPr="00B40801">
        <w:rPr>
          <w:rFonts w:eastAsia="Calibri" w:cstheme="minorHAnsi"/>
        </w:rPr>
        <w:t>Projects w</w:t>
      </w:r>
      <w:r w:rsidR="00C42246">
        <w:rPr>
          <w:rFonts w:eastAsia="Calibri" w:cstheme="minorHAnsi"/>
        </w:rPr>
        <w:t>ith limited amounts of federal funding</w:t>
      </w:r>
      <w:r w:rsidRPr="00B40801">
        <w:rPr>
          <w:rFonts w:eastAsia="Calibri" w:cstheme="minorHAnsi"/>
        </w:rPr>
        <w:t xml:space="preserve"> </w:t>
      </w:r>
    </w:p>
    <w:p w:rsidR="009C087A" w:rsidRDefault="009C087A" w:rsidP="00541BF9">
      <w:pPr>
        <w:numPr>
          <w:ilvl w:val="0"/>
          <w:numId w:val="10"/>
        </w:numPr>
        <w:spacing w:after="0" w:line="240" w:lineRule="auto"/>
        <w:rPr>
          <w:rFonts w:eastAsia="Calibri" w:cstheme="minorHAnsi"/>
        </w:rPr>
      </w:pPr>
      <w:r w:rsidRPr="00B40801">
        <w:rPr>
          <w:rFonts w:eastAsia="Calibri" w:cstheme="minorHAnsi"/>
        </w:rPr>
        <w:t xml:space="preserve">Certain multi-modal projects </w:t>
      </w:r>
    </w:p>
    <w:p w:rsidR="009C087A" w:rsidRDefault="009C087A" w:rsidP="00541BF9">
      <w:pPr>
        <w:spacing w:after="0" w:line="240" w:lineRule="auto"/>
        <w:rPr>
          <w:rFonts w:eastAsia="Calibri" w:cstheme="minorHAnsi"/>
        </w:rPr>
      </w:pPr>
      <w:r>
        <w:rPr>
          <w:rFonts w:eastAsia="Calibri" w:cstheme="minorHAnsi"/>
        </w:rPr>
        <w:t xml:space="preserve">States can assume responsibilities for all CEs.  MAP-21 allows states and MPOs to develop programmatic approaches for environmental reviews and mitigation plans.  </w:t>
      </w:r>
    </w:p>
    <w:p w:rsidR="00C42246" w:rsidRDefault="00C42246" w:rsidP="00541BF9">
      <w:pPr>
        <w:spacing w:after="0" w:line="240" w:lineRule="auto"/>
        <w:rPr>
          <w:rFonts w:eastAsia="Calibri" w:cstheme="minorHAnsi"/>
        </w:rPr>
      </w:pPr>
    </w:p>
    <w:p w:rsidR="009C087A" w:rsidRDefault="009C087A" w:rsidP="00541BF9">
      <w:pPr>
        <w:spacing w:after="0" w:line="240" w:lineRule="auto"/>
        <w:rPr>
          <w:rFonts w:cstheme="minorHAnsi"/>
        </w:rPr>
      </w:pPr>
      <w:r>
        <w:rPr>
          <w:rFonts w:eastAsia="Calibri" w:cstheme="minorHAnsi"/>
        </w:rPr>
        <w:t xml:space="preserve">MAP-21 has an emphasis on agency coordination and scheduling, including a </w:t>
      </w:r>
      <w:r w:rsidRPr="00B40801">
        <w:rPr>
          <w:rFonts w:cstheme="minorHAnsi"/>
        </w:rPr>
        <w:t>new issue resolution process that allows for elevation</w:t>
      </w:r>
      <w:r>
        <w:rPr>
          <w:rFonts w:cstheme="minorHAnsi"/>
        </w:rPr>
        <w:t xml:space="preserve">.  </w:t>
      </w:r>
    </w:p>
    <w:p w:rsidR="009C087A" w:rsidRDefault="009C087A" w:rsidP="00E60822">
      <w:pPr>
        <w:spacing w:after="0" w:line="240" w:lineRule="auto"/>
        <w:rPr>
          <w:b/>
          <w:sz w:val="24"/>
          <w:szCs w:val="24"/>
          <w:u w:val="single"/>
        </w:rPr>
      </w:pPr>
    </w:p>
    <w:p w:rsidR="00C21745" w:rsidRDefault="00142BF0" w:rsidP="00080D73">
      <w:pPr>
        <w:pStyle w:val="Heading1"/>
      </w:pPr>
      <w:r>
        <w:t xml:space="preserve">Highway </w:t>
      </w:r>
      <w:r w:rsidR="00A67700" w:rsidRPr="00A67700">
        <w:t>Programs</w:t>
      </w:r>
    </w:p>
    <w:p w:rsidR="00007301" w:rsidRDefault="00007301" w:rsidP="00007301">
      <w:pPr>
        <w:spacing w:after="0" w:line="240" w:lineRule="auto"/>
        <w:jc w:val="center"/>
        <w:rPr>
          <w:b/>
          <w:sz w:val="24"/>
          <w:szCs w:val="24"/>
          <w:u w:val="single"/>
        </w:rPr>
      </w:pPr>
    </w:p>
    <w:p w:rsidR="00142BF0" w:rsidRDefault="00141EEB" w:rsidP="00141EEB">
      <w:pPr>
        <w:spacing w:after="0" w:line="240" w:lineRule="auto"/>
      </w:pPr>
      <w:r w:rsidRPr="00141EEB">
        <w:t>MAP-21 expands the National Highway System (NHS) to incorporate principal arteria</w:t>
      </w:r>
      <w:r w:rsidR="00155856">
        <w:t>ls not previously included.  M</w:t>
      </w:r>
      <w:r w:rsidR="00155856" w:rsidRPr="00155856">
        <w:t>ore than half of highway funding go</w:t>
      </w:r>
      <w:r w:rsidR="00155856">
        <w:t>es</w:t>
      </w:r>
      <w:r w:rsidR="00155856" w:rsidRPr="00155856">
        <w:t xml:space="preserve"> to the new program </w:t>
      </w:r>
      <w:r w:rsidR="00155856">
        <w:t xml:space="preserve">(the National Highway Performance Program) </w:t>
      </w:r>
      <w:r w:rsidR="00155856" w:rsidRPr="00155856">
        <w:t xml:space="preserve">devoted to preserving and improving the </w:t>
      </w:r>
      <w:r w:rsidR="00155856">
        <w:t xml:space="preserve">enhanced NHS.   </w:t>
      </w:r>
    </w:p>
    <w:p w:rsidR="00141EEB" w:rsidRDefault="00141EEB" w:rsidP="00141EEB">
      <w:pPr>
        <w:spacing w:after="0"/>
      </w:pPr>
      <w:r>
        <w:t xml:space="preserve">MAP-21’s </w:t>
      </w:r>
      <w:r w:rsidRPr="00141EEB">
        <w:t xml:space="preserve">performance management </w:t>
      </w:r>
      <w:r>
        <w:t xml:space="preserve">emphasis provides </w:t>
      </w:r>
      <w:r w:rsidRPr="00141EEB">
        <w:t xml:space="preserve">a means to more efficient investment of Federal transportation funds focusing on national transportation goals, increasing the accountability and transparency of the Federal highway programs, and improving transportation investment </w:t>
      </w:r>
      <w:proofErr w:type="spellStart"/>
      <w:r w:rsidRPr="00141EEB">
        <w:t>decisionmaking</w:t>
      </w:r>
      <w:proofErr w:type="spellEnd"/>
      <w:r w:rsidRPr="00141EEB">
        <w:t xml:space="preserve"> through performance-based planning and programming. </w:t>
      </w:r>
    </w:p>
    <w:p w:rsidR="00141EEB" w:rsidRDefault="00141EEB" w:rsidP="00141EEB">
      <w:pPr>
        <w:spacing w:after="0"/>
      </w:pPr>
      <w:r w:rsidRPr="00141EEB">
        <w:t>MAP-21 restructures core highway formula programs.  It creates a new formula program:  (Transportation Alternatives).  It creates a new discretionary program (Tribal High Priority Projects) and eliminates many discretionary programs under SAFETEA-LU, while continuing their eligibilities in other programs.</w:t>
      </w:r>
    </w:p>
    <w:p w:rsidR="00A67700" w:rsidRDefault="00A67700" w:rsidP="00E60822">
      <w:pPr>
        <w:spacing w:after="0" w:line="240" w:lineRule="auto"/>
      </w:pPr>
    </w:p>
    <w:p w:rsidR="006D733D" w:rsidRPr="00080D73" w:rsidRDefault="001E5615" w:rsidP="008B72B4">
      <w:pPr>
        <w:spacing w:after="0" w:line="240" w:lineRule="auto"/>
        <w:rPr>
          <w:rStyle w:val="Heading2Char"/>
        </w:rPr>
      </w:pPr>
      <w:r w:rsidRPr="00080D73">
        <w:rPr>
          <w:rStyle w:val="Heading2Char"/>
        </w:rPr>
        <w:t>National Highway Performance Program (</w:t>
      </w:r>
      <w:r w:rsidR="006D733D" w:rsidRPr="00080D73">
        <w:rPr>
          <w:rStyle w:val="Heading2Char"/>
        </w:rPr>
        <w:t>NHPP</w:t>
      </w:r>
      <w:r w:rsidRPr="00080D73">
        <w:rPr>
          <w:rStyle w:val="Heading2Char"/>
        </w:rPr>
        <w:t>)</w:t>
      </w:r>
      <w:r w:rsidR="006D733D" w:rsidRPr="00080D73">
        <w:rPr>
          <w:rStyle w:val="Heading2Char"/>
        </w:rPr>
        <w:t xml:space="preserve"> </w:t>
      </w:r>
    </w:p>
    <w:p w:rsidR="00785784" w:rsidRDefault="00684B99" w:rsidP="00684B99">
      <w:pPr>
        <w:spacing w:after="0" w:line="240" w:lineRule="auto"/>
      </w:pPr>
      <w:r>
        <w:lastRenderedPageBreak/>
        <w:t xml:space="preserve">NHPP funds an enhanced National Highway System, combining </w:t>
      </w:r>
      <w:r w:rsidR="00C42246">
        <w:t xml:space="preserve">the </w:t>
      </w:r>
      <w:r>
        <w:t xml:space="preserve">functions of the existing </w:t>
      </w:r>
      <w:r w:rsidR="00C42246">
        <w:t>National Highway System (</w:t>
      </w:r>
      <w:r>
        <w:t>NHS</w:t>
      </w:r>
      <w:r w:rsidR="00C42246">
        <w:t>)</w:t>
      </w:r>
      <w:r>
        <w:t>,</w:t>
      </w:r>
      <w:r w:rsidR="00C42246">
        <w:t xml:space="preserve"> Interstate </w:t>
      </w:r>
      <w:proofErr w:type="gramStart"/>
      <w:r w:rsidR="00C42246">
        <w:t>Maintenance  (</w:t>
      </w:r>
      <w:proofErr w:type="gramEnd"/>
      <w:r>
        <w:t>IM</w:t>
      </w:r>
      <w:r w:rsidR="00C42246">
        <w:t>)</w:t>
      </w:r>
      <w:r>
        <w:t xml:space="preserve"> and Bridge Programs.  The enhanced NHS includes existing NHS, all principal arterials, STRAHNET, and intermodal connectors.  </w:t>
      </w:r>
      <w:r w:rsidR="001E5615" w:rsidRPr="001E5615">
        <w:t xml:space="preserve">The NHPP provides support for the condition and performance of the NHS, </w:t>
      </w:r>
      <w:r w:rsidR="00C42246">
        <w:t xml:space="preserve">for </w:t>
      </w:r>
      <w:r w:rsidR="001E5615" w:rsidRPr="001E5615">
        <w:t xml:space="preserve">the construction of new facilities on the NHS, and to ensure that </w:t>
      </w:r>
      <w:r w:rsidR="00C42246">
        <w:t>F</w:t>
      </w:r>
      <w:r w:rsidR="001E5615" w:rsidRPr="001E5615">
        <w:t xml:space="preserve">ederal-aid </w:t>
      </w:r>
      <w:r w:rsidR="00C42246">
        <w:t>investments</w:t>
      </w:r>
      <w:r w:rsidR="001E5615" w:rsidRPr="001E5615">
        <w:t xml:space="preserve"> in highway construction are dire</w:t>
      </w:r>
      <w:r w:rsidR="00C42246">
        <w:t xml:space="preserve">cted to support progress toward achieving </w:t>
      </w:r>
      <w:r w:rsidR="001E5615" w:rsidRPr="001E5615">
        <w:t>performance targets established in a State's ass</w:t>
      </w:r>
      <w:r w:rsidR="00785784">
        <w:t>et management plan for the NHS.</w:t>
      </w:r>
    </w:p>
    <w:p w:rsidR="00C42246" w:rsidRDefault="00C42246" w:rsidP="001E5615">
      <w:pPr>
        <w:spacing w:after="0" w:line="240" w:lineRule="auto"/>
      </w:pPr>
    </w:p>
    <w:p w:rsidR="00785784" w:rsidRDefault="00785784" w:rsidP="001E5615">
      <w:pPr>
        <w:spacing w:after="0" w:line="240" w:lineRule="auto"/>
      </w:pPr>
      <w:r>
        <w:t xml:space="preserve">Within 18 months of MAP-21’s enactment, US DOT </w:t>
      </w:r>
      <w:r w:rsidRPr="00785784">
        <w:t>is directed to publish a rulemaking establishing the process for States to use in developing a risk-based, performance-based asset management plan for preserving and improving the condition of the NHS</w:t>
      </w:r>
      <w:r>
        <w:t xml:space="preserve">.  </w:t>
      </w:r>
    </w:p>
    <w:p w:rsidR="00785784" w:rsidRPr="00785784" w:rsidRDefault="00785784" w:rsidP="001E5615">
      <w:pPr>
        <w:spacing w:after="0" w:line="240" w:lineRule="auto"/>
      </w:pPr>
    </w:p>
    <w:p w:rsidR="00785784" w:rsidRDefault="00C42246" w:rsidP="001E5615">
      <w:pPr>
        <w:spacing w:after="0" w:line="240" w:lineRule="auto"/>
      </w:pPr>
      <w:r>
        <w:t xml:space="preserve">MAP-21 emphasizes that </w:t>
      </w:r>
      <w:r w:rsidR="000865EB" w:rsidRPr="000865EB">
        <w:t>project selection should make progress towards achieving performance targets</w:t>
      </w:r>
      <w:r w:rsidR="00785784">
        <w:t>:</w:t>
      </w:r>
    </w:p>
    <w:p w:rsidR="00684B99" w:rsidRDefault="00785784" w:rsidP="00785784">
      <w:pPr>
        <w:pStyle w:val="ListParagraph"/>
        <w:numPr>
          <w:ilvl w:val="0"/>
          <w:numId w:val="13"/>
        </w:numPr>
        <w:spacing w:after="0" w:line="240" w:lineRule="auto"/>
      </w:pPr>
      <w:r w:rsidRPr="00785784">
        <w:t>US DOT establishes minimum levels of conditions for interstate pave</w:t>
      </w:r>
      <w:r>
        <w:t>ments</w:t>
      </w:r>
      <w:r w:rsidR="00C42246">
        <w:t xml:space="preserve">.  </w:t>
      </w:r>
      <w:r w:rsidR="00684B99">
        <w:t xml:space="preserve">MAP-21 </w:t>
      </w:r>
      <w:r w:rsidR="00C42246">
        <w:t>e</w:t>
      </w:r>
      <w:r w:rsidR="00684B99">
        <w:t xml:space="preserve">stablishes a minimum standard for NHS bridge conditions.  </w:t>
      </w:r>
    </w:p>
    <w:p w:rsidR="00785784" w:rsidRDefault="00684B99" w:rsidP="00785784">
      <w:pPr>
        <w:pStyle w:val="ListParagraph"/>
        <w:numPr>
          <w:ilvl w:val="0"/>
          <w:numId w:val="13"/>
        </w:numPr>
        <w:spacing w:after="0" w:line="240" w:lineRule="auto"/>
      </w:pPr>
      <w:r>
        <w:t xml:space="preserve">In consultation with States and MPOs, </w:t>
      </w:r>
      <w:r w:rsidR="00785784">
        <w:t xml:space="preserve">US DOT establishes performance measures for </w:t>
      </w:r>
      <w:r w:rsidR="00785784" w:rsidRPr="00785784">
        <w:t>Interstate and NHS pavement condition, NHS bridge condition, and Interstate and NHS performance.</w:t>
      </w:r>
      <w:r>
        <w:t xml:space="preserve">  </w:t>
      </w:r>
    </w:p>
    <w:p w:rsidR="006D733D" w:rsidRPr="00785784" w:rsidRDefault="00C42246" w:rsidP="00785784">
      <w:pPr>
        <w:pStyle w:val="ListParagraph"/>
        <w:numPr>
          <w:ilvl w:val="0"/>
          <w:numId w:val="13"/>
        </w:numPr>
        <w:spacing w:after="0" w:line="240" w:lineRule="auto"/>
        <w:rPr>
          <w:b/>
        </w:rPr>
      </w:pPr>
      <w:r>
        <w:t>States set</w:t>
      </w:r>
      <w:r w:rsidR="000865EB" w:rsidRPr="000865EB">
        <w:t xml:space="preserve"> </w:t>
      </w:r>
      <w:r w:rsidR="00684B99">
        <w:t>targets for conditions and performance</w:t>
      </w:r>
      <w:r>
        <w:t xml:space="preserve">.  </w:t>
      </w:r>
      <w:r w:rsidR="000865EB" w:rsidRPr="000865EB">
        <w:t xml:space="preserve"> Penalties </w:t>
      </w:r>
      <w:r>
        <w:t xml:space="preserve">are provided </w:t>
      </w:r>
      <w:r w:rsidR="000865EB" w:rsidRPr="000865EB">
        <w:t>if performance targets are not met, including transferring apportionment into specific categories and mandatory spending on certain routes not meeting performance targets</w:t>
      </w:r>
      <w:r w:rsidR="000865EB" w:rsidRPr="00785784">
        <w:rPr>
          <w:b/>
        </w:rPr>
        <w:t>.</w:t>
      </w:r>
    </w:p>
    <w:p w:rsidR="00785784" w:rsidRDefault="00785784" w:rsidP="001E5615">
      <w:pPr>
        <w:spacing w:after="0" w:line="240" w:lineRule="auto"/>
        <w:rPr>
          <w:b/>
        </w:rPr>
      </w:pPr>
    </w:p>
    <w:p w:rsidR="001E5615" w:rsidRPr="00EA7B6D" w:rsidRDefault="001E5615" w:rsidP="00080D73">
      <w:pPr>
        <w:pStyle w:val="Heading2"/>
      </w:pPr>
      <w:r w:rsidRPr="00EA7B6D">
        <w:t>Surface Transportation Program (</w:t>
      </w:r>
      <w:r w:rsidR="000865EB" w:rsidRPr="00EA7B6D">
        <w:t>STP</w:t>
      </w:r>
      <w:r w:rsidRPr="00EA7B6D">
        <w:t>)</w:t>
      </w:r>
    </w:p>
    <w:p w:rsidR="001E5615" w:rsidRDefault="001E5615" w:rsidP="008B72B4">
      <w:pPr>
        <w:spacing w:after="0" w:line="240" w:lineRule="auto"/>
      </w:pPr>
      <w:r>
        <w:t xml:space="preserve">STP </w:t>
      </w:r>
      <w:r w:rsidRPr="001E5615">
        <w:t>provides flexibl</w:t>
      </w:r>
      <w:r w:rsidR="00C42246">
        <w:t xml:space="preserve">e funding that may be used </w:t>
      </w:r>
      <w:r w:rsidRPr="001E5615">
        <w:t>for projects to preserve and improve conditions and performance on any Federal-aid hig</w:t>
      </w:r>
      <w:r w:rsidR="00C42246">
        <w:t>hway, bridge and tunnel project</w:t>
      </w:r>
      <w:r w:rsidRPr="001E5615">
        <w:t xml:space="preserve"> </w:t>
      </w:r>
      <w:r w:rsidR="00C42246">
        <w:t xml:space="preserve">on any public road, pedestrian or </w:t>
      </w:r>
      <w:r w:rsidRPr="001E5615">
        <w:t xml:space="preserve">bicycle infrastructure, and </w:t>
      </w:r>
      <w:r w:rsidR="00F92150">
        <w:t xml:space="preserve">on a </w:t>
      </w:r>
      <w:r w:rsidR="00C42246">
        <w:t xml:space="preserve">capital </w:t>
      </w:r>
      <w:r w:rsidRPr="001E5615">
        <w:t>transit project</w:t>
      </w:r>
      <w:r>
        <w:t>.</w:t>
      </w:r>
    </w:p>
    <w:p w:rsidR="001E5615" w:rsidRDefault="001E5615" w:rsidP="008B72B4">
      <w:pPr>
        <w:spacing w:after="0" w:line="240" w:lineRule="auto"/>
      </w:pPr>
      <w:r>
        <w:t xml:space="preserve">Apportionment </w:t>
      </w:r>
      <w:proofErr w:type="spellStart"/>
      <w:r>
        <w:t>suballocation</w:t>
      </w:r>
      <w:proofErr w:type="spellEnd"/>
      <w:r>
        <w:t xml:space="preserve"> </w:t>
      </w:r>
      <w:r w:rsidR="000865EB" w:rsidRPr="000865EB">
        <w:t xml:space="preserve">change:  50% available for statewide use; 50% available based on population.  </w:t>
      </w:r>
    </w:p>
    <w:p w:rsidR="001E5615" w:rsidRDefault="00F92150" w:rsidP="008B72B4">
      <w:pPr>
        <w:spacing w:after="0" w:line="240" w:lineRule="auto"/>
      </w:pPr>
      <w:r>
        <w:t>It a</w:t>
      </w:r>
      <w:r w:rsidR="000865EB" w:rsidRPr="000865EB">
        <w:t xml:space="preserve">dds funding for projects and strategies designed to support congestion pricing and travel demand management programs.  </w:t>
      </w:r>
      <w:r w:rsidR="00022A34">
        <w:t xml:space="preserve">The </w:t>
      </w:r>
      <w:r w:rsidR="000865EB" w:rsidRPr="000865EB">
        <w:t xml:space="preserve">Coordinated Border infrastructure </w:t>
      </w:r>
      <w:r w:rsidR="00022A34">
        <w:t xml:space="preserve">program is retained </w:t>
      </w:r>
      <w:r w:rsidR="001E5615">
        <w:t xml:space="preserve">and is </w:t>
      </w:r>
      <w:r w:rsidR="000865EB" w:rsidRPr="000865EB">
        <w:t xml:space="preserve">now a part of STP.  </w:t>
      </w:r>
    </w:p>
    <w:p w:rsidR="000865EB" w:rsidRDefault="000865EB" w:rsidP="008B72B4">
      <w:pPr>
        <w:spacing w:after="0" w:line="240" w:lineRule="auto"/>
      </w:pPr>
      <w:r w:rsidRPr="000865EB">
        <w:t xml:space="preserve">Bridges not on Federal-aid highways </w:t>
      </w:r>
      <w:r w:rsidR="00022A34" w:rsidRPr="00022A34">
        <w:t>(</w:t>
      </w:r>
      <w:r w:rsidR="006B24A3">
        <w:t xml:space="preserve">e.g., </w:t>
      </w:r>
      <w:r w:rsidR="00022A34" w:rsidRPr="00022A34">
        <w:t>a highway bridge located on a public road, other than a bridge on a Federal aid highway)</w:t>
      </w:r>
      <w:r w:rsidR="00022A34">
        <w:t xml:space="preserve"> </w:t>
      </w:r>
      <w:r w:rsidRPr="000865EB">
        <w:t>are eligible for funds</w:t>
      </w:r>
      <w:r w:rsidR="00022A34">
        <w:t xml:space="preserve">.  </w:t>
      </w:r>
      <w:r w:rsidRPr="000865EB">
        <w:t>Under SAF</w:t>
      </w:r>
      <w:r w:rsidR="00DD181A">
        <w:t>E</w:t>
      </w:r>
      <w:r w:rsidRPr="000865EB">
        <w:t xml:space="preserve">TEA-LU this was a separate program. </w:t>
      </w:r>
      <w:proofErr w:type="spellStart"/>
      <w:r w:rsidRPr="000865EB">
        <w:t>MnDOT</w:t>
      </w:r>
      <w:proofErr w:type="spellEnd"/>
      <w:r w:rsidRPr="000865EB">
        <w:t xml:space="preserve"> is required to use</w:t>
      </w:r>
      <w:r w:rsidR="00022A34">
        <w:t xml:space="preserve"> at least 15% of STP funds for these “</w:t>
      </w:r>
      <w:r w:rsidRPr="000865EB">
        <w:t>off-system bridges</w:t>
      </w:r>
      <w:r w:rsidR="00022A34">
        <w:t>”</w:t>
      </w:r>
      <w:r w:rsidRPr="000865EB">
        <w:t>.</w:t>
      </w:r>
      <w:r w:rsidR="00022A34">
        <w:t xml:space="preserve">  T</w:t>
      </w:r>
      <w:r w:rsidRPr="000865EB">
        <w:t>his amount may be reduced if USDOT determines repair need less than the required minimum investment.</w:t>
      </w:r>
    </w:p>
    <w:p w:rsidR="000865EB" w:rsidRDefault="000865EB" w:rsidP="008B72B4">
      <w:pPr>
        <w:spacing w:after="0" w:line="240" w:lineRule="auto"/>
      </w:pPr>
    </w:p>
    <w:p w:rsidR="000865EB" w:rsidRPr="00B40801" w:rsidRDefault="00142BF0" w:rsidP="00080D73">
      <w:pPr>
        <w:pStyle w:val="Heading2"/>
      </w:pPr>
      <w:r>
        <w:t>Highway Safety Improvement Program (</w:t>
      </w:r>
      <w:r w:rsidR="000865EB" w:rsidRPr="00B40801">
        <w:t>HSIP</w:t>
      </w:r>
      <w:r>
        <w:t>)</w:t>
      </w:r>
    </w:p>
    <w:p w:rsidR="000865EB" w:rsidRDefault="00022A34" w:rsidP="008B72B4">
      <w:pPr>
        <w:spacing w:after="0" w:line="240" w:lineRule="auto"/>
      </w:pPr>
      <w:r>
        <w:t>MAP-21 i</w:t>
      </w:r>
      <w:r w:rsidR="000865EB">
        <w:t>ncreases the</w:t>
      </w:r>
      <w:r w:rsidR="001E5615">
        <w:t xml:space="preserve"> estimated </w:t>
      </w:r>
      <w:r w:rsidR="000865EB">
        <w:t>level of funding for Minnesota by about $10 million from FY2012.</w:t>
      </w:r>
      <w:r>
        <w:t xml:space="preserve">  </w:t>
      </w:r>
      <w:r w:rsidR="000865EB">
        <w:t>It retains the SAFETEA-LU focus on reducing fatal and serious inju</w:t>
      </w:r>
      <w:r>
        <w:t xml:space="preserve">ry crashes on all public roads.  </w:t>
      </w:r>
      <w:r w:rsidR="000865EB">
        <w:t>It requires that the Strategic Highway Safety Plan be updated one year after the US DOT secretary establishes requirements through data analysis.  MAP-21 requires that projects must be prioritized to</w:t>
      </w:r>
      <w:r>
        <w:t xml:space="preserve"> maximize safety advancements.  </w:t>
      </w:r>
      <w:r w:rsidR="000865EB">
        <w:t>Performance targets for safety will be set by states one year after the USDOT completes their rulemaking process to establish perfo</w:t>
      </w:r>
      <w:r>
        <w:t xml:space="preserve">rmance measures and standards with the </w:t>
      </w:r>
      <w:r w:rsidR="000865EB">
        <w:t>goal</w:t>
      </w:r>
      <w:r>
        <w:t xml:space="preserve"> of </w:t>
      </w:r>
      <w:r w:rsidR="000865EB">
        <w:t>achiev</w:t>
      </w:r>
      <w:r>
        <w:t xml:space="preserve">ing </w:t>
      </w:r>
      <w:r w:rsidR="000865EB">
        <w:t xml:space="preserve">a significant reduction in traffic fatalities and serious injuries on all public roads.  </w:t>
      </w:r>
    </w:p>
    <w:p w:rsidR="000865EB" w:rsidRDefault="000865EB" w:rsidP="008B72B4">
      <w:pPr>
        <w:spacing w:after="0" w:line="240" w:lineRule="auto"/>
      </w:pPr>
    </w:p>
    <w:p w:rsidR="000865EB" w:rsidRPr="00B40801" w:rsidRDefault="00DD181A" w:rsidP="00080D73">
      <w:pPr>
        <w:pStyle w:val="Heading2"/>
      </w:pPr>
      <w:r>
        <w:lastRenderedPageBreak/>
        <w:t>Congestion Mitigation &amp; Air Quality (</w:t>
      </w:r>
      <w:r w:rsidR="000865EB" w:rsidRPr="00B40801">
        <w:t>CMAQ</w:t>
      </w:r>
      <w:r>
        <w:t>)</w:t>
      </w:r>
    </w:p>
    <w:p w:rsidR="00436AF1" w:rsidRPr="00436AF1" w:rsidRDefault="00022A34" w:rsidP="00436AF1">
      <w:pPr>
        <w:spacing w:after="0" w:line="240" w:lineRule="auto"/>
      </w:pPr>
      <w:r w:rsidRPr="00022A34">
        <w:t xml:space="preserve">MAP-21 retains the CMAQ program largely </w:t>
      </w:r>
      <w:r w:rsidR="00F92150">
        <w:t xml:space="preserve">as it existed in </w:t>
      </w:r>
      <w:r w:rsidRPr="00022A34">
        <w:t xml:space="preserve">SAFETEA-LU.  </w:t>
      </w:r>
      <w:r w:rsidR="00436AF1" w:rsidRPr="00436AF1">
        <w:t>The program funds projects that help reduce emissions and traffic congestion in areas designated as nonattainment or maintenance areas for carbon monoxide</w:t>
      </w:r>
      <w:r>
        <w:t xml:space="preserve">, ozone or particulate matter.  </w:t>
      </w:r>
      <w:r w:rsidRPr="00022A34">
        <w:t>States with areas in nonattainment or maintenance status for PM 2.5 (particulate matter) must give priority to projects that reduce PM</w:t>
      </w:r>
      <w:r>
        <w:t xml:space="preserve"> 2.5</w:t>
      </w:r>
      <w:r w:rsidRPr="00022A34">
        <w:t>.</w:t>
      </w:r>
      <w:r>
        <w:t xml:space="preserve">  </w:t>
      </w:r>
      <w:r w:rsidRPr="00022A34">
        <w:t xml:space="preserve">  </w:t>
      </w:r>
      <w:r>
        <w:t>Minnesota’s CMAQ funding stays at 2</w:t>
      </w:r>
      <w:r w:rsidRPr="00022A34">
        <w:t xml:space="preserve">009 levels.    </w:t>
      </w:r>
    </w:p>
    <w:p w:rsidR="00022A34" w:rsidRDefault="00022A34" w:rsidP="00436AF1">
      <w:pPr>
        <w:spacing w:after="0" w:line="240" w:lineRule="auto"/>
      </w:pPr>
    </w:p>
    <w:p w:rsidR="00022A34" w:rsidRDefault="00436AF1" w:rsidP="00436AF1">
      <w:pPr>
        <w:spacing w:after="0" w:line="240" w:lineRule="auto"/>
      </w:pPr>
      <w:r w:rsidRPr="00436AF1">
        <w:t xml:space="preserve">In Minnesota, most of the Twin Cities metro area, the city of St. Cloud and the city of Duluth are all </w:t>
      </w:r>
      <w:r w:rsidR="00022A34">
        <w:t xml:space="preserve">designated as </w:t>
      </w:r>
      <w:r w:rsidRPr="00436AF1">
        <w:t xml:space="preserve">maintenance </w:t>
      </w:r>
      <w:r w:rsidR="00022A34">
        <w:t xml:space="preserve">areas </w:t>
      </w:r>
      <w:r w:rsidRPr="00436AF1">
        <w:t xml:space="preserve">for carbon monoxide.  St. Cloud and Duluth will be re-designated to attainment in 2013-14.  </w:t>
      </w:r>
    </w:p>
    <w:p w:rsidR="00022A34" w:rsidRDefault="00022A34" w:rsidP="00436AF1">
      <w:pPr>
        <w:spacing w:after="0" w:line="240" w:lineRule="auto"/>
      </w:pPr>
    </w:p>
    <w:p w:rsidR="00436AF1" w:rsidRPr="00436AF1" w:rsidRDefault="00436AF1" w:rsidP="00436AF1">
      <w:pPr>
        <w:spacing w:after="0" w:line="240" w:lineRule="auto"/>
      </w:pPr>
      <w:r w:rsidRPr="00436AF1">
        <w:t>Eligibility of transit operating service (up to three years under previous transportation acts) under MAP-21 is unclear under current language and clarification is being sought from USDOT.</w:t>
      </w:r>
    </w:p>
    <w:p w:rsidR="00436AF1" w:rsidRPr="00436AF1" w:rsidRDefault="00436AF1" w:rsidP="00436AF1">
      <w:pPr>
        <w:spacing w:after="0" w:line="240" w:lineRule="auto"/>
      </w:pPr>
    </w:p>
    <w:p w:rsidR="00436AF1" w:rsidRPr="00436AF1" w:rsidRDefault="00436AF1" w:rsidP="00436AF1">
      <w:pPr>
        <w:spacing w:after="0" w:line="240" w:lineRule="auto"/>
      </w:pPr>
      <w:r w:rsidRPr="00436AF1">
        <w:t>MPOs with population over one million with nonattainment or maintenance areas are required to develop a CMAQ performance plan with congestion and emission measures and targets and must show how CMAQ projects contribute to meeting those targets.</w:t>
      </w:r>
    </w:p>
    <w:p w:rsidR="006964C1" w:rsidRDefault="006964C1" w:rsidP="006964C1">
      <w:pPr>
        <w:spacing w:after="0" w:line="240" w:lineRule="auto"/>
      </w:pPr>
    </w:p>
    <w:p w:rsidR="008D0971" w:rsidRPr="00B40801" w:rsidRDefault="008D0971" w:rsidP="00080D73">
      <w:pPr>
        <w:pStyle w:val="Heading2"/>
      </w:pPr>
      <w:r w:rsidRPr="00B40801">
        <w:t>Transportation Alternatives</w:t>
      </w:r>
    </w:p>
    <w:p w:rsidR="00F92150" w:rsidRDefault="00B51466" w:rsidP="00B51466">
      <w:pPr>
        <w:spacing w:after="0" w:line="240" w:lineRule="auto"/>
      </w:pPr>
      <w:r>
        <w:t>MAP-21 consolidated many of the transportation enhancement programs into a new formula highway program, called Transportation Alternatives (</w:t>
      </w:r>
      <w:r w:rsidR="008053EB">
        <w:t>TA).  For the duration of MAP-2</w:t>
      </w:r>
      <w:r w:rsidR="00F92150">
        <w:t>1</w:t>
      </w:r>
      <w:r w:rsidR="008053EB">
        <w:t xml:space="preserve">, </w:t>
      </w:r>
      <w:r>
        <w:t>it will receive about 2% of Minnesota’s formula highway apportionment.  Th</w:t>
      </w:r>
      <w:r w:rsidR="00F92150">
        <w:t xml:space="preserve">is funding level is </w:t>
      </w:r>
      <w:r>
        <w:t>estimated to be about 1/3</w:t>
      </w:r>
      <w:r w:rsidR="00F92150">
        <w:t xml:space="preserve"> lower than SAFETEA-LU levels.  </w:t>
      </w:r>
    </w:p>
    <w:p w:rsidR="00B51466" w:rsidRDefault="00B51466" w:rsidP="00B51466">
      <w:pPr>
        <w:spacing w:after="0" w:line="240" w:lineRule="auto"/>
      </w:pPr>
      <w:r>
        <w:t>The allocation of these funds is also different than SAFETEA-L</w:t>
      </w:r>
      <w:r w:rsidR="008053EB">
        <w:t>U</w:t>
      </w:r>
      <w:r>
        <w:t xml:space="preserve">.   50% of Minnesota’s TA formula distribution will be </w:t>
      </w:r>
      <w:proofErr w:type="spellStart"/>
      <w:r>
        <w:t>suballocated</w:t>
      </w:r>
      <w:proofErr w:type="spellEnd"/>
      <w:r>
        <w:t xml:space="preserve"> to MPOs and rural communities according to the share of population within the state and projects will be decided through a competitive grant program.  The other 50% will be </w:t>
      </w:r>
      <w:proofErr w:type="spellStart"/>
      <w:r>
        <w:t>suballocated</w:t>
      </w:r>
      <w:proofErr w:type="spellEnd"/>
      <w:r>
        <w:t xml:space="preserve"> to the State DOT.  The State DOT allocation can also be distributed through competitive grants OR be transferred to other formula highway programs.  There are no current plans to transfer this state DOT allocation to other highway programs in Minnesota.  </w:t>
      </w:r>
    </w:p>
    <w:p w:rsidR="00B51466" w:rsidRDefault="00B51466" w:rsidP="00B51466">
      <w:pPr>
        <w:spacing w:after="0" w:line="240" w:lineRule="auto"/>
      </w:pPr>
      <w:r>
        <w:t xml:space="preserve">These changes are significant and the state of Minnesota is in the process of identifying and mitigating the impacts of these changes.    </w:t>
      </w:r>
    </w:p>
    <w:p w:rsidR="00B51466" w:rsidRPr="00B51466" w:rsidRDefault="00B51466" w:rsidP="00B51466">
      <w:pPr>
        <w:spacing w:after="0" w:line="240" w:lineRule="auto"/>
        <w:rPr>
          <w:rFonts w:cstheme="minorHAnsi"/>
        </w:rPr>
      </w:pPr>
    </w:p>
    <w:p w:rsidR="004228CE" w:rsidRDefault="00595BB4" w:rsidP="00080D73">
      <w:pPr>
        <w:pStyle w:val="Heading2"/>
        <w:rPr>
          <w:rFonts w:eastAsia="Calibri"/>
        </w:rPr>
      </w:pPr>
      <w:r w:rsidRPr="00635B72">
        <w:rPr>
          <w:rFonts w:eastAsia="Calibri"/>
        </w:rPr>
        <w:t>Triba</w:t>
      </w:r>
      <w:r w:rsidR="00C42246">
        <w:rPr>
          <w:rFonts w:eastAsia="Calibri"/>
        </w:rPr>
        <w:t xml:space="preserve">l Transportation </w:t>
      </w:r>
      <w:r w:rsidR="004228CE">
        <w:rPr>
          <w:rFonts w:eastAsia="Calibri"/>
        </w:rPr>
        <w:t xml:space="preserve">Provisions </w:t>
      </w:r>
    </w:p>
    <w:p w:rsidR="00F92150" w:rsidRDefault="004228CE" w:rsidP="00595BB4">
      <w:pPr>
        <w:spacing w:after="0" w:line="240" w:lineRule="auto"/>
        <w:rPr>
          <w:rFonts w:eastAsia="Calibri" w:cstheme="minorHAnsi"/>
        </w:rPr>
      </w:pPr>
      <w:r>
        <w:rPr>
          <w:rFonts w:eastAsia="Calibri" w:cstheme="minorHAnsi"/>
        </w:rPr>
        <w:t xml:space="preserve">The Tribal Transportation Program </w:t>
      </w:r>
      <w:r w:rsidRPr="004228CE">
        <w:rPr>
          <w:rFonts w:eastAsia="Calibri" w:cstheme="minorHAnsi"/>
        </w:rPr>
        <w:t xml:space="preserve">provides </w:t>
      </w:r>
      <w:r>
        <w:rPr>
          <w:rFonts w:eastAsia="Calibri" w:cstheme="minorHAnsi"/>
        </w:rPr>
        <w:t xml:space="preserve">funding </w:t>
      </w:r>
      <w:r w:rsidRPr="004228CE">
        <w:rPr>
          <w:rFonts w:eastAsia="Calibri" w:cstheme="minorHAnsi"/>
        </w:rPr>
        <w:t xml:space="preserve">for </w:t>
      </w:r>
      <w:r>
        <w:rPr>
          <w:rFonts w:eastAsia="Calibri" w:cstheme="minorHAnsi"/>
        </w:rPr>
        <w:t>projects that improve access to and within Tribal lands.  It c</w:t>
      </w:r>
      <w:r w:rsidRPr="004228CE">
        <w:rPr>
          <w:rFonts w:eastAsia="Calibri" w:cstheme="minorHAnsi"/>
        </w:rPr>
        <w:t xml:space="preserve">ontinues the existing Indian Reservation Roads program, while adding new </w:t>
      </w:r>
      <w:proofErr w:type="spellStart"/>
      <w:r w:rsidRPr="004228CE">
        <w:rPr>
          <w:rFonts w:eastAsia="Calibri" w:cstheme="minorHAnsi"/>
        </w:rPr>
        <w:t>setasides</w:t>
      </w:r>
      <w:proofErr w:type="spellEnd"/>
      <w:r w:rsidRPr="004228CE">
        <w:rPr>
          <w:rFonts w:eastAsia="Calibri" w:cstheme="minorHAnsi"/>
        </w:rPr>
        <w:t xml:space="preserve"> </w:t>
      </w:r>
      <w:r>
        <w:rPr>
          <w:rFonts w:eastAsia="Calibri" w:cstheme="minorHAnsi"/>
        </w:rPr>
        <w:t xml:space="preserve">for tribal bridge projects </w:t>
      </w:r>
      <w:r w:rsidR="00F92150">
        <w:rPr>
          <w:rFonts w:eastAsia="Calibri" w:cstheme="minorHAnsi"/>
        </w:rPr>
        <w:t xml:space="preserve">and tribal safety projects.  </w:t>
      </w:r>
      <w:r w:rsidRPr="004228CE">
        <w:rPr>
          <w:rFonts w:eastAsia="Calibri" w:cstheme="minorHAnsi"/>
        </w:rPr>
        <w:t xml:space="preserve">This program continues to provide </w:t>
      </w:r>
      <w:proofErr w:type="spellStart"/>
      <w:r w:rsidRPr="004228CE">
        <w:rPr>
          <w:rFonts w:eastAsia="Calibri" w:cstheme="minorHAnsi"/>
        </w:rPr>
        <w:t>setasides</w:t>
      </w:r>
      <w:proofErr w:type="spellEnd"/>
      <w:r w:rsidRPr="004228CE">
        <w:rPr>
          <w:rFonts w:eastAsia="Calibri" w:cstheme="minorHAnsi"/>
        </w:rPr>
        <w:t xml:space="preserve"> for program management and oversight and tribal transportation planning. </w:t>
      </w:r>
    </w:p>
    <w:p w:rsidR="00F92150" w:rsidRDefault="00F92150" w:rsidP="00595BB4">
      <w:pPr>
        <w:spacing w:after="0" w:line="240" w:lineRule="auto"/>
        <w:rPr>
          <w:rFonts w:eastAsia="Calibri" w:cstheme="minorHAnsi"/>
        </w:rPr>
      </w:pPr>
    </w:p>
    <w:p w:rsidR="004228CE" w:rsidRDefault="004228CE" w:rsidP="00595BB4">
      <w:pPr>
        <w:spacing w:after="0" w:line="240" w:lineRule="auto"/>
        <w:rPr>
          <w:rFonts w:eastAsia="Calibri" w:cstheme="minorHAnsi"/>
        </w:rPr>
      </w:pPr>
      <w:r w:rsidRPr="004228CE">
        <w:rPr>
          <w:rFonts w:eastAsia="Calibri" w:cstheme="minorHAnsi"/>
        </w:rPr>
        <w:t>A new statutory formula for distributing funds among tribes, based on tribal population, road mileage, and average funding under SAFETEA-LU, plus an equity provision, is to be phased in over a 4 year period.</w:t>
      </w:r>
    </w:p>
    <w:p w:rsidR="004228CE" w:rsidRDefault="004228CE" w:rsidP="00595BB4">
      <w:pPr>
        <w:spacing w:after="0" w:line="240" w:lineRule="auto"/>
        <w:rPr>
          <w:rFonts w:eastAsia="Calibri" w:cstheme="minorHAnsi"/>
        </w:rPr>
      </w:pPr>
    </w:p>
    <w:p w:rsidR="00595BB4" w:rsidRDefault="006B24A3" w:rsidP="00595BB4">
      <w:pPr>
        <w:spacing w:after="0" w:line="240" w:lineRule="auto"/>
        <w:rPr>
          <w:rFonts w:eastAsia="Calibri" w:cstheme="minorHAnsi"/>
        </w:rPr>
      </w:pPr>
      <w:r>
        <w:rPr>
          <w:rFonts w:eastAsia="Calibri" w:cstheme="minorHAnsi"/>
        </w:rPr>
        <w:t xml:space="preserve">MAP-21 also authorizes a new discretionary program, the </w:t>
      </w:r>
      <w:r w:rsidR="00CF491D">
        <w:rPr>
          <w:rFonts w:eastAsia="Calibri" w:cstheme="minorHAnsi"/>
        </w:rPr>
        <w:t xml:space="preserve">Tribal </w:t>
      </w:r>
      <w:r w:rsidR="00595BB4" w:rsidRPr="00595BB4">
        <w:rPr>
          <w:rFonts w:eastAsia="Calibri" w:cstheme="minorHAnsi"/>
        </w:rPr>
        <w:t>High Priority Projects Program</w:t>
      </w:r>
      <w:r>
        <w:rPr>
          <w:rFonts w:eastAsia="Calibri" w:cstheme="minorHAnsi"/>
        </w:rPr>
        <w:t xml:space="preserve">.  This program provides General Fund dollars </w:t>
      </w:r>
      <w:r w:rsidR="00A3484C">
        <w:rPr>
          <w:rFonts w:eastAsia="Calibri" w:cstheme="minorHAnsi"/>
        </w:rPr>
        <w:t xml:space="preserve">for tribes that receive insufficient funding to complete their priority projects.  </w:t>
      </w:r>
    </w:p>
    <w:p w:rsidR="00595BB4" w:rsidRPr="009C087A" w:rsidRDefault="00595BB4" w:rsidP="00595BB4">
      <w:pPr>
        <w:spacing w:after="0" w:line="240" w:lineRule="auto"/>
        <w:rPr>
          <w:rFonts w:eastAsia="Calibri" w:cstheme="minorHAnsi"/>
        </w:rPr>
      </w:pPr>
    </w:p>
    <w:p w:rsidR="009609AF" w:rsidRPr="007E31ED" w:rsidRDefault="00595BB4" w:rsidP="00080D73">
      <w:pPr>
        <w:pStyle w:val="Heading2"/>
        <w:rPr>
          <w:rFonts w:eastAsia="Times New Roman"/>
        </w:rPr>
      </w:pPr>
      <w:r w:rsidRPr="007E31ED">
        <w:rPr>
          <w:rFonts w:eastAsia="Times New Roman"/>
        </w:rPr>
        <w:lastRenderedPageBreak/>
        <w:t>Federal Land</w:t>
      </w:r>
      <w:r w:rsidR="00C42246">
        <w:rPr>
          <w:rFonts w:eastAsia="Times New Roman"/>
        </w:rPr>
        <w:t>s Transportation Program</w:t>
      </w:r>
    </w:p>
    <w:p w:rsidR="00595BB4" w:rsidRPr="007E31ED" w:rsidRDefault="00595BB4" w:rsidP="009609AF">
      <w:pPr>
        <w:spacing w:after="0" w:line="240" w:lineRule="auto"/>
        <w:outlineLvl w:val="3"/>
        <w:rPr>
          <w:rFonts w:eastAsia="Times New Roman" w:cstheme="minorHAnsi"/>
        </w:rPr>
      </w:pPr>
      <w:r w:rsidRPr="007E31ED">
        <w:rPr>
          <w:rFonts w:eastAsia="Times New Roman" w:cstheme="minorHAnsi"/>
          <w:bCs/>
        </w:rPr>
        <w:t xml:space="preserve">Public Lands and Forest Highway programs </w:t>
      </w:r>
      <w:r w:rsidR="006B24A3">
        <w:rPr>
          <w:rFonts w:eastAsia="Times New Roman" w:cstheme="minorHAnsi"/>
          <w:bCs/>
        </w:rPr>
        <w:t>were</w:t>
      </w:r>
      <w:r w:rsidRPr="007E31ED">
        <w:rPr>
          <w:rFonts w:eastAsia="Times New Roman" w:cstheme="minorHAnsi"/>
          <w:bCs/>
        </w:rPr>
        <w:t xml:space="preserve"> eliminated in M</w:t>
      </w:r>
      <w:r w:rsidR="006B24A3">
        <w:rPr>
          <w:rFonts w:eastAsia="Times New Roman" w:cstheme="minorHAnsi"/>
          <w:bCs/>
        </w:rPr>
        <w:t>AP</w:t>
      </w:r>
      <w:r w:rsidRPr="007E31ED">
        <w:rPr>
          <w:rFonts w:eastAsia="Times New Roman" w:cstheme="minorHAnsi"/>
          <w:bCs/>
        </w:rPr>
        <w:t>-21.  They were reformatted into the Federal Lands Access program.</w:t>
      </w:r>
      <w:r w:rsidRPr="007E31ED">
        <w:rPr>
          <w:rFonts w:eastAsia="Times New Roman" w:cstheme="minorHAnsi"/>
          <w:b/>
          <w:bCs/>
        </w:rPr>
        <w:t xml:space="preserve">  </w:t>
      </w:r>
      <w:r w:rsidR="006B24A3">
        <w:rPr>
          <w:rFonts w:eastAsia="Times New Roman" w:cstheme="minorHAnsi"/>
          <w:bCs/>
        </w:rPr>
        <w:t xml:space="preserve">This program funds </w:t>
      </w:r>
      <w:r w:rsidRPr="007E31ED">
        <w:rPr>
          <w:rFonts w:eastAsia="Times New Roman" w:cstheme="minorHAnsi"/>
        </w:rPr>
        <w:t xml:space="preserve">projects that improve access within the Federal estate (e.g., national forests, national recreation areas) on infrastructure owned by the Federal government.  </w:t>
      </w:r>
      <w:r w:rsidR="006B24A3">
        <w:rPr>
          <w:rFonts w:eastAsia="Times New Roman" w:cstheme="minorHAnsi"/>
        </w:rPr>
        <w:t>It c</w:t>
      </w:r>
      <w:r w:rsidRPr="007E31ED">
        <w:rPr>
          <w:rFonts w:eastAsia="Times New Roman" w:cstheme="minorHAnsi"/>
        </w:rPr>
        <w:t>ombines Park Roads &amp; Refuge Roads programs</w:t>
      </w:r>
      <w:r w:rsidR="006B24A3">
        <w:rPr>
          <w:rFonts w:eastAsia="Times New Roman" w:cstheme="minorHAnsi"/>
        </w:rPr>
        <w:t xml:space="preserve"> and </w:t>
      </w:r>
      <w:r w:rsidRPr="007E31ED">
        <w:rPr>
          <w:rFonts w:eastAsia="Times New Roman" w:cstheme="minorHAnsi"/>
        </w:rPr>
        <w:t>adds new partners</w:t>
      </w:r>
      <w:r w:rsidR="00F92150">
        <w:rPr>
          <w:rFonts w:eastAsia="Times New Roman" w:cstheme="minorHAnsi"/>
        </w:rPr>
        <w:t>: F</w:t>
      </w:r>
      <w:r w:rsidRPr="007E31ED">
        <w:rPr>
          <w:rFonts w:eastAsia="Times New Roman" w:cstheme="minorHAnsi"/>
        </w:rPr>
        <w:t>orest Service, B</w:t>
      </w:r>
      <w:r w:rsidR="00F92150">
        <w:rPr>
          <w:rFonts w:eastAsia="Times New Roman" w:cstheme="minorHAnsi"/>
        </w:rPr>
        <w:t xml:space="preserve">ureau of </w:t>
      </w:r>
      <w:r w:rsidRPr="007E31ED">
        <w:rPr>
          <w:rFonts w:eastAsia="Times New Roman" w:cstheme="minorHAnsi"/>
        </w:rPr>
        <w:t>L</w:t>
      </w:r>
      <w:r w:rsidR="00F92150">
        <w:rPr>
          <w:rFonts w:eastAsia="Times New Roman" w:cstheme="minorHAnsi"/>
        </w:rPr>
        <w:t xml:space="preserve">and </w:t>
      </w:r>
      <w:r w:rsidRPr="007E31ED">
        <w:rPr>
          <w:rFonts w:eastAsia="Times New Roman" w:cstheme="minorHAnsi"/>
        </w:rPr>
        <w:t>M</w:t>
      </w:r>
      <w:r w:rsidR="00F92150">
        <w:rPr>
          <w:rFonts w:eastAsia="Times New Roman" w:cstheme="minorHAnsi"/>
        </w:rPr>
        <w:t>anagement</w:t>
      </w:r>
      <w:r w:rsidRPr="007E31ED">
        <w:rPr>
          <w:rFonts w:eastAsia="Times New Roman" w:cstheme="minorHAnsi"/>
        </w:rPr>
        <w:t xml:space="preserve"> &amp; Corps of Engineers.  </w:t>
      </w:r>
    </w:p>
    <w:p w:rsidR="009C087A" w:rsidRDefault="009C087A" w:rsidP="009609AF">
      <w:pPr>
        <w:spacing w:after="0" w:line="240" w:lineRule="auto"/>
        <w:outlineLvl w:val="3"/>
        <w:rPr>
          <w:rFonts w:eastAsia="Times New Roman" w:cstheme="minorHAnsi"/>
          <w:sz w:val="24"/>
          <w:szCs w:val="24"/>
        </w:rPr>
      </w:pPr>
    </w:p>
    <w:p w:rsidR="009C087A" w:rsidRDefault="009C087A" w:rsidP="00080D73">
      <w:pPr>
        <w:pStyle w:val="Heading2"/>
      </w:pPr>
      <w:r w:rsidRPr="005F4C88">
        <w:t>Highway Research</w:t>
      </w:r>
      <w:r>
        <w:t xml:space="preserve"> and ITS</w:t>
      </w:r>
    </w:p>
    <w:p w:rsidR="0089792D" w:rsidRDefault="0089792D" w:rsidP="009C087A">
      <w:pPr>
        <w:spacing w:after="0"/>
        <w:rPr>
          <w:rFonts w:cstheme="minorHAnsi"/>
        </w:rPr>
      </w:pPr>
      <w:r w:rsidRPr="0089792D">
        <w:rPr>
          <w:rFonts w:cstheme="minorHAnsi"/>
        </w:rPr>
        <w:t xml:space="preserve">MAP-21 establishes </w:t>
      </w:r>
      <w:r w:rsidR="00767C67">
        <w:rPr>
          <w:rFonts w:cstheme="minorHAnsi"/>
        </w:rPr>
        <w:t xml:space="preserve">a </w:t>
      </w:r>
      <w:r w:rsidRPr="0089792D">
        <w:rPr>
          <w:rFonts w:cstheme="minorHAnsi"/>
        </w:rPr>
        <w:t>flexible, nationally-coordinated research and technology program</w:t>
      </w:r>
      <w:r w:rsidR="00767C67">
        <w:rPr>
          <w:rFonts w:cstheme="minorHAnsi"/>
        </w:rPr>
        <w:t xml:space="preserve">.  </w:t>
      </w:r>
      <w:r w:rsidR="00767C67" w:rsidRPr="00767C67">
        <w:rPr>
          <w:rFonts w:cstheme="minorHAnsi"/>
        </w:rPr>
        <w:t>All research activities are to include a component of performance measurement and evaluation, should be outcome-based, and must be consistent with the research and technology development strategic plan.</w:t>
      </w:r>
      <w:r w:rsidR="00767C67">
        <w:rPr>
          <w:rFonts w:cstheme="minorHAnsi"/>
        </w:rPr>
        <w:t xml:space="preserve">  </w:t>
      </w:r>
    </w:p>
    <w:p w:rsidR="00F92150" w:rsidRPr="0089792D" w:rsidRDefault="00F92150" w:rsidP="009C087A">
      <w:pPr>
        <w:spacing w:after="0"/>
        <w:rPr>
          <w:rFonts w:cstheme="minorHAnsi"/>
        </w:rPr>
      </w:pPr>
      <w:r>
        <w:rPr>
          <w:rFonts w:cstheme="minorHAnsi"/>
        </w:rPr>
        <w:t xml:space="preserve">Highlights include: </w:t>
      </w:r>
    </w:p>
    <w:p w:rsidR="009C087A" w:rsidRDefault="00767C67" w:rsidP="009C087A">
      <w:pPr>
        <w:numPr>
          <w:ilvl w:val="0"/>
          <w:numId w:val="12"/>
        </w:numPr>
        <w:spacing w:after="0" w:line="240" w:lineRule="auto"/>
        <w:rPr>
          <w:rFonts w:eastAsia="Times New Roman" w:cstheme="minorHAnsi"/>
        </w:rPr>
      </w:pPr>
      <w:r>
        <w:rPr>
          <w:rFonts w:eastAsia="Times New Roman" w:cstheme="minorHAnsi"/>
        </w:rPr>
        <w:t>MAP-21 f</w:t>
      </w:r>
      <w:r w:rsidR="009C087A" w:rsidRPr="005F4C88">
        <w:rPr>
          <w:rFonts w:eastAsia="Times New Roman" w:cstheme="minorHAnsi"/>
        </w:rPr>
        <w:t>unds research at $400 Million per year, slightly below SAFETEA-Lu levels</w:t>
      </w:r>
    </w:p>
    <w:p w:rsidR="009C087A" w:rsidRPr="005F4C88" w:rsidRDefault="009C087A" w:rsidP="009C087A">
      <w:pPr>
        <w:numPr>
          <w:ilvl w:val="0"/>
          <w:numId w:val="12"/>
        </w:numPr>
        <w:spacing w:after="0" w:line="240" w:lineRule="auto"/>
        <w:rPr>
          <w:rFonts w:eastAsia="Times New Roman" w:cstheme="minorHAnsi"/>
        </w:rPr>
      </w:pPr>
      <w:r>
        <w:rPr>
          <w:rFonts w:eastAsia="Times New Roman" w:cstheme="minorHAnsi"/>
        </w:rPr>
        <w:t xml:space="preserve">FHWA will administer a new Technology and Deployment Program.  $12 </w:t>
      </w:r>
      <w:r w:rsidR="00767C67">
        <w:rPr>
          <w:rFonts w:eastAsia="Times New Roman" w:cstheme="minorHAnsi"/>
        </w:rPr>
        <w:t>million</w:t>
      </w:r>
      <w:r>
        <w:rPr>
          <w:rFonts w:eastAsia="Times New Roman" w:cstheme="minorHAnsi"/>
        </w:rPr>
        <w:t xml:space="preserve"> must be used to deploy an</w:t>
      </w:r>
      <w:r w:rsidR="00F92150">
        <w:rPr>
          <w:rFonts w:eastAsia="Times New Roman" w:cstheme="minorHAnsi"/>
        </w:rPr>
        <w:t>d implement pavement technology</w:t>
      </w:r>
    </w:p>
    <w:p w:rsidR="009C087A" w:rsidRPr="007A143A" w:rsidRDefault="009C087A" w:rsidP="009C087A">
      <w:pPr>
        <w:numPr>
          <w:ilvl w:val="0"/>
          <w:numId w:val="12"/>
        </w:numPr>
        <w:spacing w:after="0" w:line="240" w:lineRule="auto"/>
        <w:rPr>
          <w:rFonts w:eastAsia="Times New Roman" w:cstheme="minorHAnsi"/>
        </w:rPr>
      </w:pPr>
      <w:r w:rsidRPr="007A143A">
        <w:rPr>
          <w:rFonts w:eastAsia="Times New Roman" w:cstheme="minorHAnsi"/>
        </w:rPr>
        <w:t>State Planning and Research (SP&amp;R) funded by 2% set-aside from NHPP, STP, CMAQ and HSIP</w:t>
      </w:r>
    </w:p>
    <w:p w:rsidR="009C087A" w:rsidRPr="005F4C88" w:rsidRDefault="009C087A" w:rsidP="009C087A">
      <w:pPr>
        <w:pStyle w:val="ListParagraph"/>
        <w:numPr>
          <w:ilvl w:val="0"/>
          <w:numId w:val="12"/>
        </w:numPr>
        <w:spacing w:after="0" w:line="240" w:lineRule="auto"/>
        <w:rPr>
          <w:rFonts w:eastAsia="Times New Roman" w:cstheme="minorHAnsi"/>
        </w:rPr>
      </w:pPr>
      <w:r w:rsidRPr="005F4C88">
        <w:rPr>
          <w:rFonts w:eastAsia="Times New Roman" w:cstheme="minorHAnsi"/>
        </w:rPr>
        <w:t>MAP-21 authorizes a percentage of SP&amp;R funding to be used as the states’ contribution</w:t>
      </w:r>
      <w:r w:rsidR="00F92150">
        <w:rPr>
          <w:rFonts w:eastAsia="Times New Roman" w:cstheme="minorHAnsi"/>
        </w:rPr>
        <w:t xml:space="preserve"> to SHRP2</w:t>
      </w:r>
    </w:p>
    <w:p w:rsidR="009C087A" w:rsidRPr="007A143A" w:rsidRDefault="009C087A" w:rsidP="009C087A">
      <w:pPr>
        <w:pStyle w:val="ListParagraph"/>
        <w:numPr>
          <w:ilvl w:val="0"/>
          <w:numId w:val="12"/>
        </w:numPr>
        <w:spacing w:after="0" w:line="240" w:lineRule="auto"/>
        <w:rPr>
          <w:rFonts w:eastAsia="Times New Roman" w:cstheme="minorHAnsi"/>
        </w:rPr>
      </w:pPr>
      <w:r w:rsidRPr="007A143A">
        <w:rPr>
          <w:rFonts w:eastAsia="Times New Roman" w:cstheme="minorHAnsi"/>
        </w:rPr>
        <w:t xml:space="preserve">Centers of Excellence funded by Training &amp; Education </w:t>
      </w:r>
      <w:r w:rsidR="00767C67">
        <w:rPr>
          <w:rFonts w:eastAsia="Times New Roman" w:cstheme="minorHAnsi"/>
        </w:rPr>
        <w:t>funding</w:t>
      </w:r>
    </w:p>
    <w:p w:rsidR="009C087A" w:rsidRDefault="00767C67" w:rsidP="009C087A">
      <w:pPr>
        <w:numPr>
          <w:ilvl w:val="0"/>
          <w:numId w:val="12"/>
        </w:numPr>
        <w:spacing w:after="0" w:line="240" w:lineRule="auto"/>
        <w:rPr>
          <w:rFonts w:eastAsia="Times New Roman" w:cstheme="minorHAnsi"/>
        </w:rPr>
      </w:pPr>
      <w:r>
        <w:rPr>
          <w:rFonts w:eastAsia="Times New Roman" w:cstheme="minorHAnsi"/>
        </w:rPr>
        <w:t xml:space="preserve">The </w:t>
      </w:r>
      <w:r w:rsidR="009C087A" w:rsidRPr="009C087A">
        <w:rPr>
          <w:rFonts w:eastAsia="Times New Roman" w:cstheme="minorHAnsi"/>
        </w:rPr>
        <w:t>Internatio</w:t>
      </w:r>
      <w:r>
        <w:rPr>
          <w:rFonts w:eastAsia="Times New Roman" w:cstheme="minorHAnsi"/>
        </w:rPr>
        <w:t>nal “Outreach” Program is repealed.  I</w:t>
      </w:r>
      <w:r w:rsidR="009C087A" w:rsidRPr="009C087A">
        <w:rPr>
          <w:rFonts w:eastAsia="Times New Roman" w:cstheme="minorHAnsi"/>
        </w:rPr>
        <w:t>nternational research &amp; collaboration</w:t>
      </w:r>
      <w:r>
        <w:rPr>
          <w:rFonts w:eastAsia="Times New Roman" w:cstheme="minorHAnsi"/>
        </w:rPr>
        <w:t xml:space="preserve"> is </w:t>
      </w:r>
      <w:r w:rsidR="009C087A" w:rsidRPr="009C087A">
        <w:rPr>
          <w:rFonts w:eastAsia="Times New Roman" w:cstheme="minorHAnsi"/>
        </w:rPr>
        <w:t xml:space="preserve">built into </w:t>
      </w:r>
      <w:r>
        <w:rPr>
          <w:rFonts w:eastAsia="Times New Roman" w:cstheme="minorHAnsi"/>
        </w:rPr>
        <w:t xml:space="preserve">the </w:t>
      </w:r>
      <w:r w:rsidR="009C087A" w:rsidRPr="009C087A">
        <w:rPr>
          <w:rFonts w:eastAsia="Times New Roman" w:cstheme="minorHAnsi"/>
        </w:rPr>
        <w:t>core R&amp;D program</w:t>
      </w:r>
    </w:p>
    <w:p w:rsidR="0089792D" w:rsidRDefault="0089792D" w:rsidP="009C087A">
      <w:pPr>
        <w:spacing w:after="0" w:line="240" w:lineRule="auto"/>
        <w:rPr>
          <w:rFonts w:eastAsia="Times New Roman" w:cstheme="minorHAnsi"/>
        </w:rPr>
      </w:pPr>
    </w:p>
    <w:p w:rsidR="009C087A" w:rsidRPr="009C087A" w:rsidRDefault="00F92150" w:rsidP="009C087A">
      <w:pPr>
        <w:spacing w:after="0" w:line="240" w:lineRule="auto"/>
        <w:rPr>
          <w:rFonts w:eastAsia="Times New Roman" w:cstheme="minorHAnsi"/>
        </w:rPr>
      </w:pPr>
      <w:r>
        <w:rPr>
          <w:rFonts w:eastAsia="Times New Roman" w:cstheme="minorHAnsi"/>
        </w:rPr>
        <w:t>Intelligent Transportation Systems (</w:t>
      </w:r>
      <w:r w:rsidR="009C087A" w:rsidRPr="009C087A">
        <w:rPr>
          <w:rFonts w:eastAsia="Times New Roman" w:cstheme="minorHAnsi"/>
        </w:rPr>
        <w:t>ITS</w:t>
      </w:r>
      <w:r>
        <w:rPr>
          <w:rFonts w:eastAsia="Times New Roman" w:cstheme="minorHAnsi"/>
        </w:rPr>
        <w:t>)</w:t>
      </w:r>
      <w:r w:rsidR="009C087A" w:rsidRPr="009C087A">
        <w:rPr>
          <w:rFonts w:eastAsia="Times New Roman" w:cstheme="minorHAnsi"/>
        </w:rPr>
        <w:t xml:space="preserve"> is specifically mentioned for eligible activities for the five largest formula highway programs (NHPP, STP, HSIP, CMAQ and projects to improve freight movement).</w:t>
      </w:r>
      <w:r w:rsidR="0089792D">
        <w:rPr>
          <w:rFonts w:eastAsia="Times New Roman" w:cstheme="minorHAnsi"/>
        </w:rPr>
        <w:t xml:space="preserve">  </w:t>
      </w:r>
      <w:r w:rsidRPr="00F92150">
        <w:rPr>
          <w:rFonts w:eastAsia="Times New Roman" w:cstheme="minorHAnsi"/>
        </w:rPr>
        <w:t>The Transportation Infrastructure Finance and Innovation Act (TIFIA</w:t>
      </w:r>
      <w:r w:rsidR="00541BF9">
        <w:rPr>
          <w:rFonts w:eastAsia="Times New Roman" w:cstheme="minorHAnsi"/>
        </w:rPr>
        <w:t xml:space="preserve">) </w:t>
      </w:r>
      <w:r w:rsidR="009C087A" w:rsidRPr="009C087A">
        <w:rPr>
          <w:rFonts w:eastAsia="Times New Roman" w:cstheme="minorHAnsi"/>
        </w:rPr>
        <w:t>can be used for ITS Projects that cost at least $15 million.  Planning should include consideration of ITS.</w:t>
      </w:r>
      <w:r w:rsidR="0089792D">
        <w:rPr>
          <w:rFonts w:eastAsia="Times New Roman" w:cstheme="minorHAnsi"/>
        </w:rPr>
        <w:t xml:space="preserve">  T</w:t>
      </w:r>
      <w:r w:rsidR="009C087A" w:rsidRPr="009C087A">
        <w:rPr>
          <w:rFonts w:eastAsia="Times New Roman" w:cstheme="minorHAnsi"/>
        </w:rPr>
        <w:t>olling interoperability of electronic toll collection programs on federal aid highways is identified in MA</w:t>
      </w:r>
      <w:r w:rsidR="0089792D">
        <w:rPr>
          <w:rFonts w:eastAsia="Times New Roman" w:cstheme="minorHAnsi"/>
        </w:rPr>
        <w:t xml:space="preserve">P-21.  ITS activities are eligible for the </w:t>
      </w:r>
      <w:r w:rsidR="009C087A" w:rsidRPr="009C087A">
        <w:rPr>
          <w:rFonts w:eastAsia="Times New Roman" w:cstheme="minorHAnsi"/>
        </w:rPr>
        <w:t>Technology and Innovation Deployment Program</w:t>
      </w:r>
      <w:r w:rsidR="0089792D">
        <w:rPr>
          <w:rFonts w:eastAsia="Times New Roman" w:cstheme="minorHAnsi"/>
        </w:rPr>
        <w:t>, which provides $62 million in funding</w:t>
      </w:r>
      <w:r w:rsidR="009C087A" w:rsidRPr="009C087A">
        <w:rPr>
          <w:rFonts w:eastAsia="Times New Roman" w:cstheme="minorHAnsi"/>
        </w:rPr>
        <w:t xml:space="preserve">.  </w:t>
      </w:r>
    </w:p>
    <w:p w:rsidR="009C087A" w:rsidRDefault="009C087A" w:rsidP="009C087A">
      <w:pPr>
        <w:spacing w:after="0" w:line="240" w:lineRule="auto"/>
        <w:rPr>
          <w:b/>
          <w:u w:val="single"/>
        </w:rPr>
      </w:pPr>
    </w:p>
    <w:p w:rsidR="00767C67" w:rsidRDefault="009C087A" w:rsidP="00080D73">
      <w:pPr>
        <w:pStyle w:val="Heading2"/>
      </w:pPr>
      <w:r w:rsidRPr="00B40801">
        <w:t>Freight</w:t>
      </w:r>
      <w:r>
        <w:t xml:space="preserve"> Provisions</w:t>
      </w:r>
    </w:p>
    <w:p w:rsidR="009C087A" w:rsidRPr="00767C67" w:rsidRDefault="009C087A" w:rsidP="009C087A">
      <w:pPr>
        <w:spacing w:after="0" w:line="240" w:lineRule="auto"/>
        <w:rPr>
          <w:b/>
          <w:u w:val="single"/>
        </w:rPr>
      </w:pPr>
      <w:r w:rsidRPr="008D0971">
        <w:t xml:space="preserve">New </w:t>
      </w:r>
      <w:r w:rsidR="00767C67">
        <w:t xml:space="preserve">MAP-21 </w:t>
      </w:r>
      <w:r w:rsidRPr="008D0971">
        <w:t>requirements for performance based goals in planning and programming require each state and metropolitan area to establish minimum performance standard.  Performance standards are required in; improving safety, maintaining infrastructure condition, reducing traffic congestion, improving efficiency of the system and freight movement, protecting the environment, and reducing delays in project delivery.  Freight has been identified as a component of each standard</w:t>
      </w:r>
      <w:r>
        <w:t xml:space="preserve">.  </w:t>
      </w:r>
    </w:p>
    <w:p w:rsidR="00142BF0" w:rsidRDefault="00142BF0" w:rsidP="009C087A">
      <w:pPr>
        <w:spacing w:after="0" w:line="240" w:lineRule="auto"/>
      </w:pPr>
    </w:p>
    <w:p w:rsidR="009C087A" w:rsidRDefault="009C087A" w:rsidP="009C087A">
      <w:pPr>
        <w:spacing w:after="0" w:line="240" w:lineRule="auto"/>
      </w:pPr>
      <w:r w:rsidRPr="008D0971">
        <w:t xml:space="preserve">MAP-21 establishes a National Freight Policy.  </w:t>
      </w:r>
      <w:r w:rsidR="00541BF9">
        <w:t>One of the g</w:t>
      </w:r>
      <w:r w:rsidRPr="008D0971">
        <w:t>oals of th</w:t>
      </w:r>
      <w:r w:rsidR="00541BF9">
        <w:t>is</w:t>
      </w:r>
      <w:r w:rsidRPr="008D0971">
        <w:t xml:space="preserve"> policy requires the </w:t>
      </w:r>
      <w:r w:rsidR="00541BF9">
        <w:t>U</w:t>
      </w:r>
      <w:r w:rsidRPr="008D0971">
        <w:t>SDOT to design</w:t>
      </w:r>
      <w:r w:rsidR="00541BF9">
        <w:t xml:space="preserve"> (</w:t>
      </w:r>
      <w:r w:rsidRPr="008D0971">
        <w:t>after consultation with states, transport providers and system users</w:t>
      </w:r>
      <w:r w:rsidR="00541BF9">
        <w:t>)</w:t>
      </w:r>
      <w:r w:rsidRPr="008D0971">
        <w:t xml:space="preserve"> a national freight network comprised of a primary freight network of up to 30,000 miles to include critical rural corridors. The bill requires USDOT to develop a national freight strategic plan and encourages states to establish state freight plans and freight advisory committees.  </w:t>
      </w:r>
    </w:p>
    <w:p w:rsidR="009C087A" w:rsidRDefault="009C087A" w:rsidP="009C087A">
      <w:pPr>
        <w:spacing w:after="0" w:line="240" w:lineRule="auto"/>
      </w:pPr>
    </w:p>
    <w:p w:rsidR="009C087A" w:rsidRPr="00B40801" w:rsidRDefault="009C087A" w:rsidP="00080D73">
      <w:pPr>
        <w:pStyle w:val="Heading2"/>
      </w:pPr>
      <w:r w:rsidRPr="00B40801">
        <w:lastRenderedPageBreak/>
        <w:t>Alternative Finance</w:t>
      </w:r>
    </w:p>
    <w:p w:rsidR="009C087A" w:rsidRPr="00E01E73" w:rsidRDefault="009C087A" w:rsidP="009C087A">
      <w:pPr>
        <w:spacing w:after="0" w:line="240" w:lineRule="auto"/>
      </w:pPr>
      <w:r w:rsidRPr="00E01E73">
        <w:t xml:space="preserve">The TIFIA program's primary goal is to leverage limited federal resources and stimulate private capital investment by providing credit assistance to projects of national or regional significance.   MAP-21 authorizes $750 million in budget authority for FY 2013 and 1 Billion for FY 2014 and increases the maximum share of eligible project costs from 33% to 49%.  </w:t>
      </w:r>
    </w:p>
    <w:p w:rsidR="00142BF0" w:rsidRDefault="00142BF0" w:rsidP="009C087A">
      <w:pPr>
        <w:spacing w:after="0" w:line="240" w:lineRule="auto"/>
      </w:pPr>
    </w:p>
    <w:p w:rsidR="009C087A" w:rsidRDefault="009C087A" w:rsidP="009C087A">
      <w:pPr>
        <w:spacing w:after="0" w:line="240" w:lineRule="auto"/>
      </w:pPr>
      <w:r w:rsidRPr="00E01E73">
        <w:t>MAP 21 significantly expanded the scope of permitting tolling on the interstate system</w:t>
      </w:r>
      <w:r w:rsidR="00767C67">
        <w:t xml:space="preserve"> and </w:t>
      </w:r>
      <w:r w:rsidR="00767C67" w:rsidRPr="00767C67">
        <w:t>authorizes federal participation in new capacity tolling on highways, bridges or tunnels that are not on the interstate system</w:t>
      </w:r>
      <w:r w:rsidRPr="00E01E73">
        <w:t>, with the caveat that the number of toll-free non-HOV lanes may not decrease as a result of the cons</w:t>
      </w:r>
      <w:r w:rsidR="00767C67">
        <w:t xml:space="preserve">truction of such new capacity. </w:t>
      </w:r>
    </w:p>
    <w:p w:rsidR="00142BF0" w:rsidRDefault="00142BF0" w:rsidP="00142BF0">
      <w:pPr>
        <w:spacing w:after="0" w:line="240" w:lineRule="auto"/>
        <w:rPr>
          <w:rFonts w:eastAsia="Times New Roman" w:cstheme="minorHAnsi"/>
          <w:b/>
          <w:u w:val="single"/>
        </w:rPr>
      </w:pPr>
      <w:bookmarkStart w:id="0" w:name="_GoBack"/>
      <w:bookmarkEnd w:id="0"/>
    </w:p>
    <w:p w:rsidR="00142BF0" w:rsidRDefault="009C087A" w:rsidP="00080D73">
      <w:pPr>
        <w:pStyle w:val="Heading1"/>
        <w:rPr>
          <w:rFonts w:eastAsia="Times New Roman"/>
        </w:rPr>
      </w:pPr>
      <w:r w:rsidRPr="00007301">
        <w:rPr>
          <w:rFonts w:eastAsia="Times New Roman"/>
        </w:rPr>
        <w:t>Transit</w:t>
      </w:r>
      <w:r w:rsidR="00007301">
        <w:rPr>
          <w:rFonts w:eastAsia="Times New Roman"/>
        </w:rPr>
        <w:t xml:space="preserve"> Programs</w:t>
      </w:r>
    </w:p>
    <w:p w:rsidR="00A90709" w:rsidRDefault="00A90709" w:rsidP="00007301">
      <w:pPr>
        <w:spacing w:after="0" w:line="240" w:lineRule="auto"/>
        <w:jc w:val="center"/>
        <w:rPr>
          <w:rFonts w:eastAsia="Times New Roman" w:cstheme="minorHAnsi"/>
          <w:b/>
          <w:sz w:val="24"/>
          <w:szCs w:val="24"/>
          <w:u w:val="single"/>
        </w:rPr>
      </w:pPr>
    </w:p>
    <w:p w:rsidR="00A90709" w:rsidRPr="00A90709" w:rsidRDefault="00A90709" w:rsidP="00A90709">
      <w:pPr>
        <w:spacing w:after="0" w:line="240" w:lineRule="auto"/>
        <w:rPr>
          <w:rFonts w:eastAsia="Times New Roman" w:cstheme="minorHAnsi"/>
        </w:rPr>
      </w:pPr>
      <w:r>
        <w:rPr>
          <w:rFonts w:eastAsia="Times New Roman" w:cstheme="minorHAnsi"/>
        </w:rPr>
        <w:t xml:space="preserve">MAP-21 </w:t>
      </w:r>
      <w:r w:rsidRPr="00A90709">
        <w:rPr>
          <w:rFonts w:eastAsia="Times New Roman" w:cstheme="minorHAnsi"/>
        </w:rPr>
        <w:t>authorizes $10.6 billion in FY 2013 and $10.7 billion in FY 2014 for public transportation.</w:t>
      </w:r>
    </w:p>
    <w:p w:rsidR="0056086F" w:rsidRDefault="00A90709" w:rsidP="00142BF0">
      <w:pPr>
        <w:spacing w:after="0" w:line="240" w:lineRule="auto"/>
        <w:rPr>
          <w:rFonts w:eastAsia="Times New Roman" w:cstheme="minorHAnsi"/>
        </w:rPr>
      </w:pPr>
      <w:r>
        <w:rPr>
          <w:rFonts w:eastAsia="Times New Roman" w:cstheme="minorHAnsi"/>
        </w:rPr>
        <w:t xml:space="preserve">It </w:t>
      </w:r>
      <w:r w:rsidRPr="00A90709">
        <w:rPr>
          <w:rFonts w:eastAsia="Times New Roman" w:cstheme="minorHAnsi"/>
        </w:rPr>
        <w:t>furthers several important goals, including safety, state of good repair, performance, and program efficiency.</w:t>
      </w:r>
      <w:r w:rsidR="00155856">
        <w:rPr>
          <w:rFonts w:eastAsia="Times New Roman" w:cstheme="minorHAnsi"/>
        </w:rPr>
        <w:t xml:space="preserve">  I</w:t>
      </w:r>
      <w:r w:rsidRPr="00A90709">
        <w:rPr>
          <w:rFonts w:eastAsia="Times New Roman" w:cstheme="minorHAnsi"/>
        </w:rPr>
        <w:t>t establishes performance-based planning requirements that align Federal funding with key goals and track</w:t>
      </w:r>
      <w:r>
        <w:rPr>
          <w:rFonts w:eastAsia="Times New Roman" w:cstheme="minorHAnsi"/>
        </w:rPr>
        <w:t>s</w:t>
      </w:r>
      <w:r w:rsidR="00155856">
        <w:rPr>
          <w:rFonts w:eastAsia="Times New Roman" w:cstheme="minorHAnsi"/>
        </w:rPr>
        <w:t xml:space="preserve"> progress towards these goals.  </w:t>
      </w:r>
      <w:r w:rsidR="0056086F" w:rsidRPr="00A90709">
        <w:rPr>
          <w:rFonts w:eastAsia="Times New Roman" w:cstheme="minorHAnsi"/>
        </w:rPr>
        <w:t xml:space="preserve">MAP-21 directs the Secretary of Transportation to establish national performance measures and data standards for transit safety and state of good repair.  </w:t>
      </w:r>
    </w:p>
    <w:p w:rsidR="0056086F" w:rsidRDefault="0056086F" w:rsidP="00142BF0">
      <w:pPr>
        <w:spacing w:after="0" w:line="240" w:lineRule="auto"/>
        <w:rPr>
          <w:rFonts w:eastAsia="Times New Roman" w:cstheme="minorHAnsi"/>
        </w:rPr>
      </w:pPr>
    </w:p>
    <w:p w:rsidR="00141EEB" w:rsidRDefault="00141EEB" w:rsidP="00142BF0">
      <w:pPr>
        <w:spacing w:after="0" w:line="240" w:lineRule="auto"/>
        <w:rPr>
          <w:rFonts w:eastAsia="Times New Roman" w:cstheme="minorHAnsi"/>
        </w:rPr>
      </w:pPr>
      <w:r w:rsidRPr="00141EEB">
        <w:rPr>
          <w:rFonts w:eastAsia="Times New Roman" w:cstheme="minorHAnsi"/>
        </w:rPr>
        <w:t>MAP-21 grants FTA the authority to establish and enforce a new comprehensive framework to oversee the safety of public transportation throughout the United States.</w:t>
      </w:r>
      <w:r>
        <w:rPr>
          <w:rFonts w:eastAsia="Times New Roman" w:cstheme="minorHAnsi"/>
        </w:rPr>
        <w:t xml:space="preserve">  </w:t>
      </w:r>
      <w:r w:rsidRPr="00141EEB">
        <w:rPr>
          <w:rFonts w:eastAsia="Times New Roman" w:cstheme="minorHAnsi"/>
        </w:rPr>
        <w:t>FTA must develop safety performance criteria for all modes of public transportation.</w:t>
      </w:r>
      <w:r>
        <w:rPr>
          <w:rFonts w:eastAsia="Times New Roman" w:cstheme="minorHAnsi"/>
        </w:rPr>
        <w:t xml:space="preserve">  </w:t>
      </w:r>
      <w:r w:rsidRPr="00141EEB">
        <w:rPr>
          <w:rFonts w:eastAsia="Times New Roman" w:cstheme="minorHAnsi"/>
        </w:rPr>
        <w:t>MAP-21 includes new requirements for the State Safety Oversight (SSO) program, through which States with heavy rail, light rail, and streetcar systems must establish safety oversight for these transit systems.</w:t>
      </w:r>
    </w:p>
    <w:p w:rsidR="00155856" w:rsidRDefault="00155856" w:rsidP="00142BF0">
      <w:pPr>
        <w:spacing w:after="0" w:line="240" w:lineRule="auto"/>
        <w:rPr>
          <w:rFonts w:eastAsia="Times New Roman" w:cstheme="minorHAnsi"/>
        </w:rPr>
      </w:pPr>
    </w:p>
    <w:p w:rsidR="009C087A" w:rsidRDefault="00A90709" w:rsidP="00142BF0">
      <w:pPr>
        <w:spacing w:after="0" w:line="240" w:lineRule="auto"/>
        <w:rPr>
          <w:rFonts w:eastAsia="Times New Roman" w:cstheme="minorHAnsi"/>
        </w:rPr>
      </w:pPr>
      <w:r>
        <w:rPr>
          <w:rFonts w:eastAsia="Times New Roman" w:cstheme="minorHAnsi"/>
        </w:rPr>
        <w:t>It r</w:t>
      </w:r>
      <w:r w:rsidR="009C087A" w:rsidRPr="00A90709">
        <w:rPr>
          <w:rFonts w:eastAsia="Times New Roman" w:cstheme="minorHAnsi"/>
        </w:rPr>
        <w:t xml:space="preserve">etains </w:t>
      </w:r>
      <w:r>
        <w:rPr>
          <w:rFonts w:eastAsia="Times New Roman" w:cstheme="minorHAnsi"/>
        </w:rPr>
        <w:t xml:space="preserve">the </w:t>
      </w:r>
      <w:r w:rsidR="009C087A" w:rsidRPr="00A90709">
        <w:rPr>
          <w:rFonts w:eastAsia="Times New Roman" w:cstheme="minorHAnsi"/>
        </w:rPr>
        <w:t xml:space="preserve">New Starts transit program and creates </w:t>
      </w:r>
      <w:r>
        <w:rPr>
          <w:rFonts w:eastAsia="Times New Roman" w:cstheme="minorHAnsi"/>
        </w:rPr>
        <w:t xml:space="preserve">a </w:t>
      </w:r>
      <w:r w:rsidR="009C087A" w:rsidRPr="00A90709">
        <w:rPr>
          <w:rFonts w:eastAsia="Times New Roman" w:cstheme="minorHAnsi"/>
        </w:rPr>
        <w:t xml:space="preserve">new program for existing fixed </w:t>
      </w:r>
      <w:proofErr w:type="spellStart"/>
      <w:r w:rsidR="009C087A" w:rsidRPr="00A90709">
        <w:rPr>
          <w:rFonts w:eastAsia="Times New Roman" w:cstheme="minorHAnsi"/>
        </w:rPr>
        <w:t>guideway</w:t>
      </w:r>
      <w:proofErr w:type="spellEnd"/>
      <w:r w:rsidR="009C087A" w:rsidRPr="00A90709">
        <w:rPr>
          <w:rFonts w:eastAsia="Times New Roman" w:cstheme="minorHAnsi"/>
        </w:rPr>
        <w:t xml:space="preserve"> systems</w:t>
      </w:r>
      <w:r w:rsidR="009C087A" w:rsidRPr="008E3B02">
        <w:rPr>
          <w:rFonts w:eastAsia="Times New Roman" w:cstheme="minorHAnsi"/>
        </w:rPr>
        <w:t xml:space="preserve">.  </w:t>
      </w:r>
    </w:p>
    <w:p w:rsidR="00142BF0" w:rsidRPr="008E3B02" w:rsidRDefault="00142BF0" w:rsidP="00142BF0">
      <w:pPr>
        <w:spacing w:after="0" w:line="240" w:lineRule="auto"/>
        <w:rPr>
          <w:rFonts w:eastAsia="Times New Roman" w:cstheme="minorHAnsi"/>
        </w:rPr>
      </w:pPr>
    </w:p>
    <w:p w:rsidR="009C087A" w:rsidRPr="008E3B02" w:rsidRDefault="009C087A" w:rsidP="00142BF0">
      <w:pPr>
        <w:spacing w:after="0" w:line="240" w:lineRule="auto"/>
        <w:rPr>
          <w:rFonts w:eastAsia="Times New Roman" w:cstheme="minorHAnsi"/>
        </w:rPr>
      </w:pPr>
      <w:r w:rsidRPr="008E3B02">
        <w:rPr>
          <w:rFonts w:eastAsia="Times New Roman" w:cstheme="minorHAnsi"/>
        </w:rPr>
        <w:t xml:space="preserve">MAP-21 </w:t>
      </w:r>
      <w:r w:rsidR="00155856">
        <w:rPr>
          <w:rFonts w:eastAsia="Times New Roman" w:cstheme="minorHAnsi"/>
        </w:rPr>
        <w:t xml:space="preserve">broadens </w:t>
      </w:r>
      <w:r w:rsidRPr="008E3B02">
        <w:rPr>
          <w:rFonts w:eastAsia="Times New Roman" w:cstheme="minorHAnsi"/>
        </w:rPr>
        <w:t>the definition of Bus Rapid Transit (BRT) projects</w:t>
      </w:r>
      <w:r w:rsidR="00155856">
        <w:rPr>
          <w:rFonts w:eastAsia="Times New Roman" w:cstheme="minorHAnsi"/>
        </w:rPr>
        <w:t xml:space="preserve">.  </w:t>
      </w:r>
      <w:r w:rsidRPr="008E3B02">
        <w:rPr>
          <w:rFonts w:eastAsia="Times New Roman" w:cstheme="minorHAnsi"/>
        </w:rPr>
        <w:t xml:space="preserve">BRT projects will now be classified and funded as either Corridor-Based or Fixed </w:t>
      </w:r>
      <w:proofErr w:type="spellStart"/>
      <w:r w:rsidRPr="008E3B02">
        <w:rPr>
          <w:rFonts w:eastAsia="Times New Roman" w:cstheme="minorHAnsi"/>
        </w:rPr>
        <w:t>Guideway</w:t>
      </w:r>
      <w:proofErr w:type="spellEnd"/>
      <w:r w:rsidRPr="008E3B02">
        <w:rPr>
          <w:rFonts w:eastAsia="Times New Roman" w:cstheme="minorHAnsi"/>
        </w:rPr>
        <w:t>.</w:t>
      </w:r>
    </w:p>
    <w:p w:rsidR="00142BF0" w:rsidRDefault="00142BF0" w:rsidP="00142BF0">
      <w:pPr>
        <w:spacing w:after="0" w:line="240" w:lineRule="auto"/>
        <w:rPr>
          <w:rFonts w:eastAsia="Times New Roman" w:cstheme="minorHAnsi"/>
        </w:rPr>
      </w:pPr>
    </w:p>
    <w:p w:rsidR="009C087A" w:rsidRDefault="00155856" w:rsidP="00142BF0">
      <w:pPr>
        <w:spacing w:after="0" w:line="240" w:lineRule="auto"/>
        <w:rPr>
          <w:rFonts w:eastAsia="Times New Roman" w:cstheme="minorHAnsi"/>
        </w:rPr>
      </w:pPr>
      <w:r>
        <w:rPr>
          <w:rFonts w:eastAsia="Times New Roman" w:cstheme="minorHAnsi"/>
        </w:rPr>
        <w:t>MAP-21</w:t>
      </w:r>
      <w:r w:rsidRPr="00155856">
        <w:rPr>
          <w:rFonts w:eastAsia="Times New Roman" w:cstheme="minorHAnsi"/>
        </w:rPr>
        <w:t xml:space="preserve"> improves the efficiency of administering grant programs by consolidating several programs</w:t>
      </w:r>
      <w:r w:rsidR="009C087A">
        <w:rPr>
          <w:rFonts w:eastAsia="Times New Roman" w:cstheme="minorHAnsi"/>
        </w:rPr>
        <w:t xml:space="preserve">:   </w:t>
      </w:r>
    </w:p>
    <w:p w:rsidR="00155856" w:rsidRDefault="009C087A" w:rsidP="00155856">
      <w:pPr>
        <w:pStyle w:val="ListParagraph"/>
        <w:numPr>
          <w:ilvl w:val="0"/>
          <w:numId w:val="18"/>
        </w:numPr>
        <w:spacing w:after="0" w:line="240" w:lineRule="auto"/>
        <w:rPr>
          <w:rFonts w:eastAsia="Times New Roman" w:cstheme="minorHAnsi"/>
        </w:rPr>
      </w:pPr>
      <w:r w:rsidRPr="00155856">
        <w:rPr>
          <w:rFonts w:eastAsia="Times New Roman" w:cstheme="minorHAnsi"/>
        </w:rPr>
        <w:t>The 5307 formula funding program remains substantially the same, with one change. Job Access Reverse Commute (JARC) activities are now eligible for 5307 formula funding and the JARC program itself, previous 5316 funding, has been repealed.</w:t>
      </w:r>
    </w:p>
    <w:p w:rsidR="009C087A" w:rsidRPr="00155856" w:rsidRDefault="009C087A" w:rsidP="00155856">
      <w:pPr>
        <w:pStyle w:val="ListParagraph"/>
        <w:numPr>
          <w:ilvl w:val="0"/>
          <w:numId w:val="18"/>
        </w:numPr>
        <w:spacing w:after="0" w:line="240" w:lineRule="auto"/>
        <w:rPr>
          <w:rFonts w:eastAsia="Times New Roman" w:cstheme="minorHAnsi"/>
        </w:rPr>
      </w:pPr>
      <w:r w:rsidRPr="00155856">
        <w:rPr>
          <w:rFonts w:eastAsia="Times New Roman" w:cstheme="minorHAnsi"/>
        </w:rPr>
        <w:t xml:space="preserve"> In the past, only </w:t>
      </w:r>
      <w:proofErr w:type="spellStart"/>
      <w:r w:rsidRPr="00155856">
        <w:rPr>
          <w:rFonts w:eastAsia="Times New Roman" w:cstheme="minorHAnsi"/>
        </w:rPr>
        <w:t>MnDOT</w:t>
      </w:r>
      <w:proofErr w:type="spellEnd"/>
      <w:r w:rsidRPr="00155856">
        <w:rPr>
          <w:rFonts w:eastAsia="Times New Roman" w:cstheme="minorHAnsi"/>
        </w:rPr>
        <w:t xml:space="preserve"> has received 5310 Elderly &amp; Disabled formula funding. Now the New Freedom program, former 5317 funding, has been rolled into 5310 formula funding.  </w:t>
      </w:r>
    </w:p>
    <w:p w:rsidR="009C087A" w:rsidRPr="00155856" w:rsidRDefault="009C087A" w:rsidP="00155856">
      <w:pPr>
        <w:pStyle w:val="ListParagraph"/>
        <w:numPr>
          <w:ilvl w:val="0"/>
          <w:numId w:val="18"/>
        </w:numPr>
        <w:spacing w:after="0" w:line="240" w:lineRule="auto"/>
        <w:rPr>
          <w:rFonts w:eastAsia="Times New Roman" w:cstheme="minorHAnsi"/>
        </w:rPr>
      </w:pPr>
      <w:r w:rsidRPr="00155856">
        <w:rPr>
          <w:rFonts w:eastAsia="Times New Roman" w:cstheme="minorHAnsi"/>
        </w:rPr>
        <w:t xml:space="preserve">The 5337 State of Good Repair formula funding replaces the former 5309 Fixed </w:t>
      </w:r>
      <w:proofErr w:type="spellStart"/>
      <w:r w:rsidRPr="00155856">
        <w:rPr>
          <w:rFonts w:eastAsia="Times New Roman" w:cstheme="minorHAnsi"/>
        </w:rPr>
        <w:t>Guideway</w:t>
      </w:r>
      <w:proofErr w:type="spellEnd"/>
      <w:r w:rsidRPr="00155856">
        <w:rPr>
          <w:rFonts w:eastAsia="Times New Roman" w:cstheme="minorHAnsi"/>
        </w:rPr>
        <w:t xml:space="preserve"> Modernization formula funding. There are two parts to 5337 SGR funding: High-Intensity Fixed </w:t>
      </w:r>
      <w:proofErr w:type="spellStart"/>
      <w:r w:rsidRPr="00155856">
        <w:rPr>
          <w:rFonts w:eastAsia="Times New Roman" w:cstheme="minorHAnsi"/>
        </w:rPr>
        <w:t>Guideway</w:t>
      </w:r>
      <w:proofErr w:type="spellEnd"/>
      <w:r w:rsidRPr="00155856">
        <w:rPr>
          <w:rFonts w:eastAsia="Times New Roman" w:cstheme="minorHAnsi"/>
        </w:rPr>
        <w:t xml:space="preserve"> SGR Formula, which covers rail or fixed catenary systems and BRT on exclusive transit only lanes, and High-Intensity Motorbus SGR Formula, which covers buses that run in HOV lanes.</w:t>
      </w:r>
    </w:p>
    <w:p w:rsidR="009C087A" w:rsidRPr="00155856" w:rsidRDefault="009C087A" w:rsidP="00155856">
      <w:pPr>
        <w:pStyle w:val="ListParagraph"/>
        <w:numPr>
          <w:ilvl w:val="0"/>
          <w:numId w:val="18"/>
        </w:numPr>
        <w:spacing w:after="0" w:line="240" w:lineRule="auto"/>
        <w:rPr>
          <w:rFonts w:eastAsia="Times New Roman" w:cstheme="minorHAnsi"/>
        </w:rPr>
      </w:pPr>
      <w:r w:rsidRPr="00155856">
        <w:rPr>
          <w:rFonts w:eastAsia="Times New Roman" w:cstheme="minorHAnsi"/>
        </w:rPr>
        <w:t xml:space="preserve">The 5339 Bus and Bus Facilities Formula Funding </w:t>
      </w:r>
      <w:proofErr w:type="gramStart"/>
      <w:r w:rsidRPr="00155856">
        <w:rPr>
          <w:rFonts w:eastAsia="Times New Roman" w:cstheme="minorHAnsi"/>
        </w:rPr>
        <w:t>replaces</w:t>
      </w:r>
      <w:proofErr w:type="gramEnd"/>
      <w:r w:rsidRPr="00155856">
        <w:rPr>
          <w:rFonts w:eastAsia="Times New Roman" w:cstheme="minorHAnsi"/>
        </w:rPr>
        <w:t xml:space="preserve"> the previous 5309 Bus and Bus Facilities discretionary award program.</w:t>
      </w:r>
    </w:p>
    <w:p w:rsidR="009C087A" w:rsidRPr="00007301" w:rsidRDefault="009C087A" w:rsidP="00142BF0">
      <w:pPr>
        <w:spacing w:after="0" w:line="240" w:lineRule="auto"/>
        <w:outlineLvl w:val="3"/>
        <w:rPr>
          <w:rFonts w:eastAsia="Times New Roman" w:cstheme="minorHAnsi"/>
        </w:rPr>
      </w:pPr>
    </w:p>
    <w:sectPr w:rsidR="009C087A" w:rsidRPr="000073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F9" w:rsidRDefault="00541BF9" w:rsidP="008D1A58">
      <w:pPr>
        <w:spacing w:after="0" w:line="240" w:lineRule="auto"/>
      </w:pPr>
      <w:r>
        <w:separator/>
      </w:r>
    </w:p>
  </w:endnote>
  <w:endnote w:type="continuationSeparator" w:id="0">
    <w:p w:rsidR="00541BF9" w:rsidRDefault="00541BF9" w:rsidP="008D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2071"/>
      <w:docPartObj>
        <w:docPartGallery w:val="Page Numbers (Bottom of Page)"/>
        <w:docPartUnique/>
      </w:docPartObj>
    </w:sdtPr>
    <w:sdtEndPr>
      <w:rPr>
        <w:noProof/>
      </w:rPr>
    </w:sdtEndPr>
    <w:sdtContent>
      <w:p w:rsidR="00541BF9" w:rsidRDefault="00541BF9">
        <w:pPr>
          <w:pStyle w:val="Footer"/>
          <w:jc w:val="center"/>
        </w:pPr>
        <w:r>
          <w:fldChar w:fldCharType="begin"/>
        </w:r>
        <w:r>
          <w:instrText xml:space="preserve"> PAGE   \* MERGEFORMAT </w:instrText>
        </w:r>
        <w:r>
          <w:fldChar w:fldCharType="separate"/>
        </w:r>
        <w:r w:rsidR="00080D73">
          <w:rPr>
            <w:noProof/>
          </w:rPr>
          <w:t>7</w:t>
        </w:r>
        <w:r>
          <w:rPr>
            <w:noProof/>
          </w:rPr>
          <w:fldChar w:fldCharType="end"/>
        </w:r>
      </w:p>
    </w:sdtContent>
  </w:sdt>
  <w:p w:rsidR="00541BF9" w:rsidRDefault="00541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F9" w:rsidRDefault="00541BF9" w:rsidP="008D1A58">
      <w:pPr>
        <w:spacing w:after="0" w:line="240" w:lineRule="auto"/>
      </w:pPr>
      <w:r>
        <w:separator/>
      </w:r>
    </w:p>
  </w:footnote>
  <w:footnote w:type="continuationSeparator" w:id="0">
    <w:p w:rsidR="00541BF9" w:rsidRDefault="00541BF9" w:rsidP="008D1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5AB"/>
    <w:multiLevelType w:val="multilevel"/>
    <w:tmpl w:val="4D2A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F64AC"/>
    <w:multiLevelType w:val="hybridMultilevel"/>
    <w:tmpl w:val="13D89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4154A"/>
    <w:multiLevelType w:val="hybridMultilevel"/>
    <w:tmpl w:val="93720B4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9D211A6">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457143"/>
    <w:multiLevelType w:val="multilevel"/>
    <w:tmpl w:val="E114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D34289"/>
    <w:multiLevelType w:val="hybridMultilevel"/>
    <w:tmpl w:val="AC36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D0212"/>
    <w:multiLevelType w:val="hybridMultilevel"/>
    <w:tmpl w:val="4CFE29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95760"/>
    <w:multiLevelType w:val="hybridMultilevel"/>
    <w:tmpl w:val="A2A2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476E6"/>
    <w:multiLevelType w:val="hybridMultilevel"/>
    <w:tmpl w:val="7CC4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44359"/>
    <w:multiLevelType w:val="hybridMultilevel"/>
    <w:tmpl w:val="125A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91FE9"/>
    <w:multiLevelType w:val="hybridMultilevel"/>
    <w:tmpl w:val="AE1A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10FAD"/>
    <w:multiLevelType w:val="hybridMultilevel"/>
    <w:tmpl w:val="EED02F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9D211A6">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0233D"/>
    <w:multiLevelType w:val="hybridMultilevel"/>
    <w:tmpl w:val="26C8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D669B"/>
    <w:multiLevelType w:val="hybridMultilevel"/>
    <w:tmpl w:val="E3E4259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3">
    <w:nsid w:val="4FB8012B"/>
    <w:multiLevelType w:val="hybridMultilevel"/>
    <w:tmpl w:val="F114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CF7BFD"/>
    <w:multiLevelType w:val="hybridMultilevel"/>
    <w:tmpl w:val="BDD4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BE4ED5"/>
    <w:multiLevelType w:val="hybridMultilevel"/>
    <w:tmpl w:val="0E4011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14F4613"/>
    <w:multiLevelType w:val="multilevel"/>
    <w:tmpl w:val="33663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901425"/>
    <w:multiLevelType w:val="hybridMultilevel"/>
    <w:tmpl w:val="E918C2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6"/>
  </w:num>
  <w:num w:numId="5">
    <w:abstractNumId w:val="10"/>
  </w:num>
  <w:num w:numId="6">
    <w:abstractNumId w:val="7"/>
  </w:num>
  <w:num w:numId="7">
    <w:abstractNumId w:val="9"/>
  </w:num>
  <w:num w:numId="8">
    <w:abstractNumId w:val="1"/>
  </w:num>
  <w:num w:numId="9">
    <w:abstractNumId w:val="5"/>
  </w:num>
  <w:num w:numId="10">
    <w:abstractNumId w:val="4"/>
  </w:num>
  <w:num w:numId="11">
    <w:abstractNumId w:val="17"/>
  </w:num>
  <w:num w:numId="12">
    <w:abstractNumId w:val="3"/>
  </w:num>
  <w:num w:numId="13">
    <w:abstractNumId w:val="14"/>
  </w:num>
  <w:num w:numId="14">
    <w:abstractNumId w:val="0"/>
  </w:num>
  <w:num w:numId="15">
    <w:abstractNumId w:val="16"/>
  </w:num>
  <w:num w:numId="16">
    <w:abstractNumId w:val="15"/>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2A"/>
    <w:rsid w:val="0000577C"/>
    <w:rsid w:val="00007301"/>
    <w:rsid w:val="00020DD3"/>
    <w:rsid w:val="00022A34"/>
    <w:rsid w:val="00023E6E"/>
    <w:rsid w:val="00080D73"/>
    <w:rsid w:val="000865EB"/>
    <w:rsid w:val="000D732A"/>
    <w:rsid w:val="00140784"/>
    <w:rsid w:val="00141EEB"/>
    <w:rsid w:val="00142BF0"/>
    <w:rsid w:val="00155856"/>
    <w:rsid w:val="001E5615"/>
    <w:rsid w:val="003C0406"/>
    <w:rsid w:val="004016DC"/>
    <w:rsid w:val="004175D2"/>
    <w:rsid w:val="004228CE"/>
    <w:rsid w:val="00436AF1"/>
    <w:rsid w:val="00541BF9"/>
    <w:rsid w:val="00543699"/>
    <w:rsid w:val="0056086F"/>
    <w:rsid w:val="00595BB4"/>
    <w:rsid w:val="005D6933"/>
    <w:rsid w:val="005F4C88"/>
    <w:rsid w:val="00635B72"/>
    <w:rsid w:val="00657455"/>
    <w:rsid w:val="00684B99"/>
    <w:rsid w:val="006964C1"/>
    <w:rsid w:val="006B24A3"/>
    <w:rsid w:val="006D733D"/>
    <w:rsid w:val="00767C67"/>
    <w:rsid w:val="007765B2"/>
    <w:rsid w:val="00785784"/>
    <w:rsid w:val="007A143A"/>
    <w:rsid w:val="007E31ED"/>
    <w:rsid w:val="008053EB"/>
    <w:rsid w:val="0089792D"/>
    <w:rsid w:val="008A326F"/>
    <w:rsid w:val="008B72B4"/>
    <w:rsid w:val="008D0971"/>
    <w:rsid w:val="008D1A58"/>
    <w:rsid w:val="008E3B02"/>
    <w:rsid w:val="009609AF"/>
    <w:rsid w:val="009C087A"/>
    <w:rsid w:val="00A3484C"/>
    <w:rsid w:val="00A34A11"/>
    <w:rsid w:val="00A64429"/>
    <w:rsid w:val="00A67700"/>
    <w:rsid w:val="00A90709"/>
    <w:rsid w:val="00B1417F"/>
    <w:rsid w:val="00B40801"/>
    <w:rsid w:val="00B51466"/>
    <w:rsid w:val="00C21745"/>
    <w:rsid w:val="00C42246"/>
    <w:rsid w:val="00CF491D"/>
    <w:rsid w:val="00D50962"/>
    <w:rsid w:val="00D6577E"/>
    <w:rsid w:val="00DA50FE"/>
    <w:rsid w:val="00DD181A"/>
    <w:rsid w:val="00E01E73"/>
    <w:rsid w:val="00E03760"/>
    <w:rsid w:val="00E25652"/>
    <w:rsid w:val="00E60822"/>
    <w:rsid w:val="00EA601F"/>
    <w:rsid w:val="00EA7B6D"/>
    <w:rsid w:val="00F27B78"/>
    <w:rsid w:val="00F9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0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0D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2B4"/>
    <w:pPr>
      <w:ind w:left="720"/>
      <w:contextualSpacing/>
    </w:pPr>
  </w:style>
  <w:style w:type="paragraph" w:styleId="BalloonText">
    <w:name w:val="Balloon Text"/>
    <w:basedOn w:val="Normal"/>
    <w:link w:val="BalloonTextChar"/>
    <w:uiPriority w:val="99"/>
    <w:semiHidden/>
    <w:unhideWhenUsed/>
    <w:rsid w:val="00960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9AF"/>
    <w:rPr>
      <w:rFonts w:ascii="Tahoma" w:hAnsi="Tahoma" w:cs="Tahoma"/>
      <w:sz w:val="16"/>
      <w:szCs w:val="16"/>
    </w:rPr>
  </w:style>
  <w:style w:type="paragraph" w:styleId="Header">
    <w:name w:val="header"/>
    <w:basedOn w:val="Normal"/>
    <w:link w:val="HeaderChar"/>
    <w:uiPriority w:val="99"/>
    <w:unhideWhenUsed/>
    <w:rsid w:val="008D1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A58"/>
  </w:style>
  <w:style w:type="paragraph" w:styleId="Footer">
    <w:name w:val="footer"/>
    <w:basedOn w:val="Normal"/>
    <w:link w:val="FooterChar"/>
    <w:uiPriority w:val="99"/>
    <w:unhideWhenUsed/>
    <w:rsid w:val="008D1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A58"/>
  </w:style>
  <w:style w:type="character" w:customStyle="1" w:styleId="Heading1Char">
    <w:name w:val="Heading 1 Char"/>
    <w:basedOn w:val="DefaultParagraphFont"/>
    <w:link w:val="Heading1"/>
    <w:uiPriority w:val="9"/>
    <w:rsid w:val="00080D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0D7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0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0D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2B4"/>
    <w:pPr>
      <w:ind w:left="720"/>
      <w:contextualSpacing/>
    </w:pPr>
  </w:style>
  <w:style w:type="paragraph" w:styleId="BalloonText">
    <w:name w:val="Balloon Text"/>
    <w:basedOn w:val="Normal"/>
    <w:link w:val="BalloonTextChar"/>
    <w:uiPriority w:val="99"/>
    <w:semiHidden/>
    <w:unhideWhenUsed/>
    <w:rsid w:val="00960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9AF"/>
    <w:rPr>
      <w:rFonts w:ascii="Tahoma" w:hAnsi="Tahoma" w:cs="Tahoma"/>
      <w:sz w:val="16"/>
      <w:szCs w:val="16"/>
    </w:rPr>
  </w:style>
  <w:style w:type="paragraph" w:styleId="Header">
    <w:name w:val="header"/>
    <w:basedOn w:val="Normal"/>
    <w:link w:val="HeaderChar"/>
    <w:uiPriority w:val="99"/>
    <w:unhideWhenUsed/>
    <w:rsid w:val="008D1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A58"/>
  </w:style>
  <w:style w:type="paragraph" w:styleId="Footer">
    <w:name w:val="footer"/>
    <w:basedOn w:val="Normal"/>
    <w:link w:val="FooterChar"/>
    <w:uiPriority w:val="99"/>
    <w:unhideWhenUsed/>
    <w:rsid w:val="008D1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A58"/>
  </w:style>
  <w:style w:type="character" w:customStyle="1" w:styleId="Heading1Char">
    <w:name w:val="Heading 1 Char"/>
    <w:basedOn w:val="DefaultParagraphFont"/>
    <w:link w:val="Heading1"/>
    <w:uiPriority w:val="9"/>
    <w:rsid w:val="00080D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0D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20431">
      <w:bodyDiv w:val="1"/>
      <w:marLeft w:val="0"/>
      <w:marRight w:val="0"/>
      <w:marTop w:val="0"/>
      <w:marBottom w:val="0"/>
      <w:divBdr>
        <w:top w:val="none" w:sz="0" w:space="0" w:color="auto"/>
        <w:left w:val="none" w:sz="0" w:space="0" w:color="auto"/>
        <w:bottom w:val="none" w:sz="0" w:space="0" w:color="auto"/>
        <w:right w:val="none" w:sz="0" w:space="0" w:color="auto"/>
      </w:divBdr>
      <w:divsChild>
        <w:div w:id="694695827">
          <w:marLeft w:val="0"/>
          <w:marRight w:val="0"/>
          <w:marTop w:val="0"/>
          <w:marBottom w:val="0"/>
          <w:divBdr>
            <w:top w:val="none" w:sz="0" w:space="0" w:color="auto"/>
            <w:left w:val="none" w:sz="0" w:space="0" w:color="auto"/>
            <w:bottom w:val="none" w:sz="0" w:space="0" w:color="auto"/>
            <w:right w:val="none" w:sz="0" w:space="0" w:color="auto"/>
          </w:divBdr>
          <w:divsChild>
            <w:div w:id="1097680175">
              <w:marLeft w:val="0"/>
              <w:marRight w:val="0"/>
              <w:marTop w:val="0"/>
              <w:marBottom w:val="0"/>
              <w:divBdr>
                <w:top w:val="none" w:sz="0" w:space="0" w:color="auto"/>
                <w:left w:val="none" w:sz="0" w:space="0" w:color="auto"/>
                <w:bottom w:val="none" w:sz="0" w:space="0" w:color="auto"/>
                <w:right w:val="none" w:sz="0" w:space="0" w:color="auto"/>
              </w:divBdr>
              <w:divsChild>
                <w:div w:id="18807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0C977-8C58-4E19-98AA-2A512BC5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20063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Phillips</dc:creator>
  <cp:keywords/>
  <dc:description/>
  <cp:lastModifiedBy>kors1kay</cp:lastModifiedBy>
  <cp:revision>2</cp:revision>
  <cp:lastPrinted>2012-09-16T17:24:00Z</cp:lastPrinted>
  <dcterms:created xsi:type="dcterms:W3CDTF">2012-09-17T12:31:00Z</dcterms:created>
  <dcterms:modified xsi:type="dcterms:W3CDTF">2012-09-17T12:31:00Z</dcterms:modified>
</cp:coreProperties>
</file>